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C2" w:rsidRPr="002B14C2" w:rsidRDefault="002B14C2" w:rsidP="002B14C2">
      <w:pPr>
        <w:spacing w:line="360" w:lineRule="auto"/>
        <w:ind w:rightChars="-134" w:right="-281"/>
        <w:jc w:val="left"/>
        <w:outlineLvl w:val="0"/>
        <w:rPr>
          <w:rFonts w:ascii="仿宋_GB2312" w:eastAsia="仿宋_GB2312"/>
          <w:sz w:val="28"/>
          <w:szCs w:val="28"/>
        </w:rPr>
      </w:pPr>
      <w:bookmarkStart w:id="0" w:name="_Toc534383157"/>
      <w:bookmarkStart w:id="1" w:name="_Toc534383318"/>
      <w:r>
        <w:rPr>
          <w:rFonts w:ascii="仿宋_GB2312" w:eastAsia="仿宋_GB2312" w:hint="eastAsia"/>
          <w:sz w:val="28"/>
          <w:szCs w:val="28"/>
        </w:rPr>
        <w:t>附件5-1</w:t>
      </w:r>
    </w:p>
    <w:p w:rsidR="006C19AE" w:rsidRDefault="002B14C2">
      <w:pPr>
        <w:spacing w:line="360" w:lineRule="auto"/>
        <w:ind w:rightChars="-134" w:right="-281"/>
        <w:jc w:val="center"/>
        <w:outlineLvl w:val="0"/>
        <w:rPr>
          <w:rFonts w:ascii="方正小标宋简体" w:eastAsia="方正小标宋简体"/>
          <w:sz w:val="44"/>
          <w:szCs w:val="44"/>
        </w:rPr>
      </w:pPr>
      <w:r>
        <w:rPr>
          <w:rFonts w:ascii="方正小标宋简体" w:eastAsia="方正小标宋简体" w:hint="eastAsia"/>
          <w:sz w:val="44"/>
          <w:szCs w:val="44"/>
        </w:rPr>
        <w:t>教育发展专项资金（强师工程）绩效目标表</w:t>
      </w:r>
      <w:bookmarkEnd w:id="0"/>
      <w:bookmarkEnd w:id="1"/>
    </w:p>
    <w:tbl>
      <w:tblPr>
        <w:tblStyle w:val="a6"/>
        <w:tblW w:w="9918" w:type="dxa"/>
        <w:jc w:val="center"/>
        <w:tblLayout w:type="fixed"/>
        <w:tblLook w:val="04A0" w:firstRow="1" w:lastRow="0" w:firstColumn="1" w:lastColumn="0" w:noHBand="0" w:noVBand="1"/>
      </w:tblPr>
      <w:tblGrid>
        <w:gridCol w:w="1684"/>
        <w:gridCol w:w="863"/>
        <w:gridCol w:w="1134"/>
        <w:gridCol w:w="2268"/>
        <w:gridCol w:w="1984"/>
        <w:gridCol w:w="1985"/>
      </w:tblGrid>
      <w:tr w:rsidR="006C19AE">
        <w:trPr>
          <w:trHeight w:val="567"/>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项目名称</w:t>
            </w:r>
          </w:p>
        </w:tc>
        <w:tc>
          <w:tcPr>
            <w:tcW w:w="8234" w:type="dxa"/>
            <w:gridSpan w:val="5"/>
            <w:vAlign w:val="center"/>
          </w:tcPr>
          <w:p w:rsidR="006C19AE" w:rsidRDefault="002B14C2">
            <w:pPr>
              <w:spacing w:line="360" w:lineRule="auto"/>
              <w:jc w:val="center"/>
              <w:outlineLvl w:val="1"/>
              <w:rPr>
                <w:rFonts w:ascii="宋体" w:eastAsia="宋体" w:hAnsi="宋体"/>
                <w:sz w:val="24"/>
                <w:szCs w:val="24"/>
              </w:rPr>
            </w:pPr>
            <w:bookmarkStart w:id="2" w:name="_Toc534383158"/>
            <w:r>
              <w:rPr>
                <w:rFonts w:ascii="宋体" w:eastAsia="宋体" w:hAnsi="宋体" w:hint="eastAsia"/>
                <w:sz w:val="24"/>
                <w:szCs w:val="24"/>
              </w:rPr>
              <w:t>教育发展专项资金-强师工程-开展教师省级研修培训和教师专业能力提升</w:t>
            </w:r>
            <w:bookmarkEnd w:id="2"/>
          </w:p>
        </w:tc>
      </w:tr>
      <w:tr w:rsidR="006C19AE">
        <w:trPr>
          <w:trHeight w:val="567"/>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省级业务主管部门</w:t>
            </w:r>
          </w:p>
        </w:tc>
        <w:tc>
          <w:tcPr>
            <w:tcW w:w="4265" w:type="dxa"/>
            <w:gridSpan w:val="3"/>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广东省教育厅</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申报单位</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广东省教育厅</w:t>
            </w:r>
          </w:p>
        </w:tc>
      </w:tr>
      <w:tr w:rsidR="006C19AE">
        <w:trPr>
          <w:trHeight w:val="567"/>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项目申报属性</w:t>
            </w:r>
          </w:p>
        </w:tc>
        <w:tc>
          <w:tcPr>
            <w:tcW w:w="1997"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新增安排</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项目类型</w:t>
            </w:r>
          </w:p>
        </w:tc>
        <w:tc>
          <w:tcPr>
            <w:tcW w:w="3969"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专项资金</w:t>
            </w:r>
          </w:p>
        </w:tc>
      </w:tr>
      <w:tr w:rsidR="006C19AE">
        <w:trPr>
          <w:trHeight w:val="567"/>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项目实施周期</w:t>
            </w:r>
          </w:p>
        </w:tc>
        <w:tc>
          <w:tcPr>
            <w:tcW w:w="8234" w:type="dxa"/>
            <w:gridSpan w:val="5"/>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（2019）年-（2021）年</w:t>
            </w:r>
          </w:p>
        </w:tc>
      </w:tr>
      <w:tr w:rsidR="006C19AE">
        <w:trPr>
          <w:trHeight w:val="567"/>
          <w:jc w:val="center"/>
        </w:trPr>
        <w:tc>
          <w:tcPr>
            <w:tcW w:w="1684" w:type="dxa"/>
            <w:vMerge w:val="restart"/>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资金需求</w:t>
            </w:r>
            <w:r>
              <w:rPr>
                <w:rFonts w:ascii="宋体" w:eastAsia="宋体" w:hAnsi="宋体" w:hint="eastAsia"/>
                <w:sz w:val="24"/>
                <w:szCs w:val="24"/>
              </w:rPr>
              <w:br/>
              <w:t>（万元）</w:t>
            </w:r>
          </w:p>
        </w:tc>
        <w:tc>
          <w:tcPr>
            <w:tcW w:w="1997"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总金额</w:t>
            </w:r>
          </w:p>
        </w:tc>
        <w:tc>
          <w:tcPr>
            <w:tcW w:w="6237" w:type="dxa"/>
            <w:gridSpan w:val="3"/>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97</w:t>
            </w:r>
            <w:r>
              <w:rPr>
                <w:rFonts w:ascii="宋体" w:eastAsia="宋体" w:hAnsi="宋体"/>
                <w:sz w:val="24"/>
                <w:szCs w:val="24"/>
              </w:rPr>
              <w:t>,</w:t>
            </w:r>
            <w:r>
              <w:rPr>
                <w:rFonts w:ascii="宋体" w:eastAsia="宋体" w:hAnsi="宋体" w:hint="eastAsia"/>
                <w:sz w:val="24"/>
                <w:szCs w:val="24"/>
              </w:rPr>
              <w:t xml:space="preserve">200.00 </w:t>
            </w:r>
          </w:p>
        </w:tc>
      </w:tr>
      <w:tr w:rsidR="006C19AE">
        <w:trPr>
          <w:trHeight w:val="567"/>
          <w:jc w:val="center"/>
        </w:trPr>
        <w:tc>
          <w:tcPr>
            <w:tcW w:w="1684" w:type="dxa"/>
            <w:vMerge/>
            <w:vAlign w:val="center"/>
          </w:tcPr>
          <w:p w:rsidR="006C19AE" w:rsidRDefault="006C19AE">
            <w:pPr>
              <w:spacing w:line="360" w:lineRule="auto"/>
              <w:jc w:val="center"/>
              <w:rPr>
                <w:rFonts w:ascii="宋体" w:eastAsia="宋体" w:hAnsi="宋体"/>
                <w:sz w:val="24"/>
                <w:szCs w:val="24"/>
              </w:rPr>
            </w:pPr>
          </w:p>
        </w:tc>
        <w:tc>
          <w:tcPr>
            <w:tcW w:w="1997"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其中：2019年金额</w:t>
            </w:r>
          </w:p>
        </w:tc>
        <w:tc>
          <w:tcPr>
            <w:tcW w:w="6237" w:type="dxa"/>
            <w:gridSpan w:val="3"/>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32</w:t>
            </w:r>
            <w:r>
              <w:rPr>
                <w:rFonts w:ascii="宋体" w:eastAsia="宋体" w:hAnsi="宋体"/>
                <w:sz w:val="24"/>
                <w:szCs w:val="24"/>
              </w:rPr>
              <w:t>,</w:t>
            </w:r>
            <w:r>
              <w:rPr>
                <w:rFonts w:ascii="宋体" w:eastAsia="宋体" w:hAnsi="宋体" w:hint="eastAsia"/>
                <w:sz w:val="24"/>
                <w:szCs w:val="24"/>
              </w:rPr>
              <w:t xml:space="preserve">400.00 </w:t>
            </w:r>
          </w:p>
        </w:tc>
      </w:tr>
      <w:tr w:rsidR="006C19AE">
        <w:trPr>
          <w:trHeight w:val="2373"/>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支出内容</w:t>
            </w:r>
          </w:p>
        </w:tc>
        <w:tc>
          <w:tcPr>
            <w:tcW w:w="8234" w:type="dxa"/>
            <w:gridSpan w:val="5"/>
            <w:vAlign w:val="center"/>
          </w:tcPr>
          <w:p w:rsidR="006C19AE" w:rsidRDefault="002B14C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用于加强教师队伍师德师风建设，组织开展省级教师教学能力大赛，支持省级教师发展中心充分发挥引领示范作用，发放珠江学者年度津贴，补助“三区”教师专项人才计划，用于开展在职教师培训、培养等项目所需的住宿费、师资费、指导费、场地费、资料费、交通费、名教师名校（园）长工作室补助、其他费用等。</w:t>
            </w:r>
          </w:p>
        </w:tc>
      </w:tr>
      <w:tr w:rsidR="006C19AE">
        <w:trPr>
          <w:trHeight w:val="558"/>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政策依据</w:t>
            </w:r>
          </w:p>
        </w:tc>
        <w:tc>
          <w:tcPr>
            <w:tcW w:w="8234" w:type="dxa"/>
            <w:gridSpan w:val="5"/>
            <w:vAlign w:val="center"/>
          </w:tcPr>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1.《关于全面深化新时代教师队伍建设改革的意见》（中发[2018]4号）；</w:t>
            </w:r>
          </w:p>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2.《教育部等五部门关于印发〈教师教育振兴行动计划（2018－2022年）〉的通知》（教师〔2018〕2号）；</w:t>
            </w:r>
          </w:p>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3.《中共广东省委广东省人民政府关于全面深化新时代教师队伍建设改革的实施意见》（粤发[2018]25号）；</w:t>
            </w:r>
          </w:p>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4.《广东省乡村教师支持计划实施办法（2015-2020年）》（粤府办〔2016〕3号）；</w:t>
            </w:r>
          </w:p>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5.《广东省教师队伍建设“十三五”规划》（粤教师〔2017〕7号）；</w:t>
            </w:r>
          </w:p>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6.《广东省“强师工程”实施方案（2017—2020年）》（粤教师〔2017〕8号）；</w:t>
            </w:r>
          </w:p>
          <w:p w:rsidR="006C19AE" w:rsidRDefault="002B14C2">
            <w:pPr>
              <w:spacing w:line="360" w:lineRule="auto"/>
              <w:jc w:val="left"/>
              <w:rPr>
                <w:rFonts w:ascii="宋体" w:eastAsia="宋体" w:hAnsi="宋体"/>
                <w:sz w:val="24"/>
                <w:szCs w:val="24"/>
              </w:rPr>
            </w:pPr>
            <w:r>
              <w:rPr>
                <w:rFonts w:ascii="宋体" w:eastAsia="宋体" w:hAnsi="宋体" w:hint="eastAsia"/>
                <w:sz w:val="24"/>
                <w:szCs w:val="24"/>
              </w:rPr>
              <w:t>7.《广东省教育厅关于加强“十三五”广东省中小学教师培训工作的意见》（粤教继函[2017]27号）。</w:t>
            </w:r>
          </w:p>
          <w:p w:rsidR="006C19AE" w:rsidRDefault="006C19AE">
            <w:pPr>
              <w:spacing w:line="360" w:lineRule="auto"/>
              <w:jc w:val="left"/>
              <w:rPr>
                <w:rFonts w:ascii="宋体" w:eastAsia="宋体" w:hAnsi="宋体"/>
                <w:sz w:val="24"/>
                <w:szCs w:val="24"/>
              </w:rPr>
            </w:pPr>
            <w:bookmarkStart w:id="3" w:name="_GoBack"/>
            <w:bookmarkEnd w:id="3"/>
          </w:p>
        </w:tc>
      </w:tr>
      <w:tr w:rsidR="006C19AE">
        <w:trPr>
          <w:trHeight w:val="567"/>
          <w:jc w:val="center"/>
        </w:trPr>
        <w:tc>
          <w:tcPr>
            <w:tcW w:w="1684" w:type="dxa"/>
            <w:vMerge w:val="restart"/>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lastRenderedPageBreak/>
              <w:t>总体绩效目标</w:t>
            </w:r>
            <w:r>
              <w:rPr>
                <w:rFonts w:ascii="宋体" w:eastAsia="宋体" w:hAnsi="宋体" w:hint="eastAsia"/>
                <w:sz w:val="24"/>
                <w:szCs w:val="24"/>
              </w:rPr>
              <w:br/>
              <w:t>（概述）</w:t>
            </w:r>
          </w:p>
        </w:tc>
        <w:tc>
          <w:tcPr>
            <w:tcW w:w="4265" w:type="dxa"/>
            <w:gridSpan w:val="3"/>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当年度绩效目标</w:t>
            </w:r>
          </w:p>
        </w:tc>
        <w:tc>
          <w:tcPr>
            <w:tcW w:w="3969"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实施周期绩效目标</w:t>
            </w:r>
          </w:p>
        </w:tc>
      </w:tr>
      <w:tr w:rsidR="006C19AE">
        <w:trPr>
          <w:trHeight w:val="567"/>
          <w:jc w:val="center"/>
        </w:trPr>
        <w:tc>
          <w:tcPr>
            <w:tcW w:w="1684" w:type="dxa"/>
            <w:vMerge/>
            <w:vAlign w:val="center"/>
          </w:tcPr>
          <w:p w:rsidR="006C19AE" w:rsidRDefault="006C19AE">
            <w:pPr>
              <w:spacing w:line="360" w:lineRule="auto"/>
              <w:jc w:val="center"/>
              <w:rPr>
                <w:rFonts w:ascii="宋体" w:eastAsia="宋体" w:hAnsi="宋体"/>
                <w:sz w:val="24"/>
                <w:szCs w:val="24"/>
              </w:rPr>
            </w:pPr>
          </w:p>
        </w:tc>
        <w:tc>
          <w:tcPr>
            <w:tcW w:w="4265" w:type="dxa"/>
            <w:gridSpan w:val="3"/>
            <w:vAlign w:val="center"/>
          </w:tcPr>
          <w:p w:rsidR="006C19AE" w:rsidRDefault="002B14C2">
            <w:pPr>
              <w:spacing w:line="336" w:lineRule="auto"/>
              <w:ind w:firstLineChars="200" w:firstLine="480"/>
              <w:jc w:val="left"/>
              <w:rPr>
                <w:rFonts w:ascii="宋体" w:eastAsia="宋体" w:hAnsi="宋体"/>
                <w:sz w:val="24"/>
                <w:szCs w:val="24"/>
              </w:rPr>
            </w:pPr>
            <w:r>
              <w:rPr>
                <w:rFonts w:ascii="宋体" w:eastAsia="宋体" w:hAnsi="宋体" w:hint="eastAsia"/>
                <w:sz w:val="24"/>
                <w:szCs w:val="24"/>
              </w:rPr>
              <w:t>举办2019年广东省中小学青年教师教学能力大赛；按照计划选派义务教育阶段支教教师；与留基委联合开展的国家公派出国留学地方合作项目，选派高校教师出国（境）访学。省级教师培养、培训项目学员参加率不低于80%，结业率不低于85%。学员对项目培训整体满意率达到80%；培训对象的理念发生转变、促进教学反思、进一步提升教育教学技能和水平。</w:t>
            </w:r>
          </w:p>
        </w:tc>
        <w:tc>
          <w:tcPr>
            <w:tcW w:w="3969" w:type="dxa"/>
            <w:gridSpan w:val="2"/>
            <w:vAlign w:val="center"/>
          </w:tcPr>
          <w:p w:rsidR="006C19AE" w:rsidRDefault="002B14C2">
            <w:pPr>
              <w:spacing w:line="336" w:lineRule="auto"/>
              <w:ind w:firstLineChars="200" w:firstLine="480"/>
              <w:rPr>
                <w:rFonts w:ascii="宋体" w:eastAsia="宋体" w:hAnsi="宋体"/>
                <w:sz w:val="24"/>
                <w:szCs w:val="24"/>
              </w:rPr>
            </w:pPr>
            <w:r>
              <w:rPr>
                <w:rFonts w:ascii="宋体" w:eastAsia="宋体" w:hAnsi="宋体" w:hint="eastAsia"/>
                <w:sz w:val="24"/>
                <w:szCs w:val="24"/>
              </w:rPr>
              <w:t>到2021年，建立完善省、市、县、校四级中小学教师专业发展服务支撑体系，分类、分层、分级有针对性组织开展教师培训项目，满足不同层次不同类别教师的专业发展需求。广大教师普遍具有尚师德品行、先进教育理念、扎实专业知识、较强的教育教学能力、教科研创新能力和服务社会能力，形成一支引领教育现代化发展的高素质专业化教师队伍。</w:t>
            </w:r>
          </w:p>
        </w:tc>
      </w:tr>
      <w:tr w:rsidR="006C19AE">
        <w:trPr>
          <w:trHeight w:val="567"/>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绩效指标</w:t>
            </w:r>
          </w:p>
        </w:tc>
        <w:tc>
          <w:tcPr>
            <w:tcW w:w="863"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一级</w:t>
            </w:r>
            <w:r>
              <w:rPr>
                <w:rFonts w:ascii="宋体" w:eastAsia="宋体" w:hAnsi="宋体" w:hint="eastAsia"/>
                <w:sz w:val="24"/>
                <w:szCs w:val="24"/>
              </w:rPr>
              <w:br/>
              <w:t>指标</w:t>
            </w:r>
          </w:p>
        </w:tc>
        <w:tc>
          <w:tcPr>
            <w:tcW w:w="113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二级指标</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三级指标</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三级指标目标值</w:t>
            </w:r>
            <w:r>
              <w:rPr>
                <w:rFonts w:ascii="宋体" w:eastAsia="宋体" w:hAnsi="宋体" w:hint="eastAsia"/>
                <w:sz w:val="24"/>
                <w:szCs w:val="24"/>
              </w:rPr>
              <w:br/>
              <w:t>（当年度）</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三级指标目标值</w:t>
            </w:r>
            <w:r>
              <w:rPr>
                <w:rFonts w:ascii="宋体" w:eastAsia="宋体" w:hAnsi="宋体" w:hint="eastAsia"/>
                <w:sz w:val="24"/>
                <w:szCs w:val="24"/>
              </w:rPr>
              <w:br/>
              <w:t>（实施周期）</w:t>
            </w:r>
          </w:p>
        </w:tc>
      </w:tr>
      <w:tr w:rsidR="006C19AE">
        <w:trPr>
          <w:trHeight w:val="567"/>
          <w:jc w:val="center"/>
        </w:trPr>
        <w:tc>
          <w:tcPr>
            <w:tcW w:w="1684" w:type="dxa"/>
            <w:vMerge w:val="restart"/>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 xml:space="preserve">　</w:t>
            </w:r>
          </w:p>
        </w:tc>
        <w:tc>
          <w:tcPr>
            <w:tcW w:w="863" w:type="dxa"/>
            <w:vMerge w:val="restart"/>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产出</w:t>
            </w:r>
          </w:p>
        </w:tc>
        <w:tc>
          <w:tcPr>
            <w:tcW w:w="1134" w:type="dxa"/>
            <w:vMerge w:val="restart"/>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数量指标</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培训合格率（%）</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80%</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85%</w:t>
            </w:r>
          </w:p>
        </w:tc>
      </w:tr>
      <w:tr w:rsidR="006C19AE">
        <w:trPr>
          <w:trHeight w:val="567"/>
          <w:jc w:val="center"/>
        </w:trPr>
        <w:tc>
          <w:tcPr>
            <w:tcW w:w="1684" w:type="dxa"/>
            <w:vMerge/>
            <w:vAlign w:val="center"/>
          </w:tcPr>
          <w:p w:rsidR="006C19AE" w:rsidRDefault="006C19AE">
            <w:pPr>
              <w:spacing w:line="360" w:lineRule="auto"/>
              <w:jc w:val="center"/>
              <w:rPr>
                <w:rFonts w:ascii="宋体" w:eastAsia="宋体" w:hAnsi="宋体"/>
                <w:sz w:val="24"/>
                <w:szCs w:val="24"/>
              </w:rPr>
            </w:pPr>
          </w:p>
        </w:tc>
        <w:tc>
          <w:tcPr>
            <w:tcW w:w="863" w:type="dxa"/>
            <w:vMerge/>
            <w:vAlign w:val="center"/>
          </w:tcPr>
          <w:p w:rsidR="006C19AE" w:rsidRDefault="006C19AE">
            <w:pPr>
              <w:spacing w:line="360" w:lineRule="auto"/>
              <w:jc w:val="center"/>
              <w:rPr>
                <w:rFonts w:ascii="宋体" w:eastAsia="宋体" w:hAnsi="宋体"/>
                <w:sz w:val="24"/>
                <w:szCs w:val="24"/>
              </w:rPr>
            </w:pPr>
          </w:p>
        </w:tc>
        <w:tc>
          <w:tcPr>
            <w:tcW w:w="1134" w:type="dxa"/>
            <w:vMerge/>
            <w:vAlign w:val="center"/>
          </w:tcPr>
          <w:p w:rsidR="006C19AE" w:rsidRDefault="006C19AE">
            <w:pPr>
              <w:spacing w:line="360" w:lineRule="auto"/>
              <w:jc w:val="center"/>
              <w:rPr>
                <w:rFonts w:ascii="宋体" w:eastAsia="宋体" w:hAnsi="宋体"/>
                <w:sz w:val="24"/>
                <w:szCs w:val="24"/>
              </w:rPr>
            </w:pP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培训计划按期完成率（%）</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80%</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85%</w:t>
            </w:r>
          </w:p>
        </w:tc>
      </w:tr>
      <w:tr w:rsidR="006C19AE">
        <w:trPr>
          <w:trHeight w:val="567"/>
          <w:jc w:val="center"/>
        </w:trPr>
        <w:tc>
          <w:tcPr>
            <w:tcW w:w="1684" w:type="dxa"/>
            <w:vMerge/>
            <w:vAlign w:val="center"/>
          </w:tcPr>
          <w:p w:rsidR="006C19AE" w:rsidRDefault="006C19AE">
            <w:pPr>
              <w:spacing w:line="360" w:lineRule="auto"/>
              <w:jc w:val="center"/>
              <w:rPr>
                <w:rFonts w:ascii="宋体" w:eastAsia="宋体" w:hAnsi="宋体"/>
                <w:sz w:val="24"/>
                <w:szCs w:val="24"/>
              </w:rPr>
            </w:pPr>
          </w:p>
        </w:tc>
        <w:tc>
          <w:tcPr>
            <w:tcW w:w="863" w:type="dxa"/>
            <w:vMerge/>
            <w:vAlign w:val="center"/>
          </w:tcPr>
          <w:p w:rsidR="006C19AE" w:rsidRDefault="006C19AE">
            <w:pPr>
              <w:spacing w:line="360" w:lineRule="auto"/>
              <w:jc w:val="center"/>
              <w:rPr>
                <w:rFonts w:ascii="宋体" w:eastAsia="宋体" w:hAnsi="宋体"/>
                <w:sz w:val="24"/>
                <w:szCs w:val="24"/>
              </w:rPr>
            </w:pPr>
          </w:p>
        </w:tc>
        <w:tc>
          <w:tcPr>
            <w:tcW w:w="113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质量指标</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目标定位</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省级教师培训项目满足学员需求，清晰具体</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省级教师培训项目满足学员需求，清晰具体</w:t>
            </w:r>
          </w:p>
        </w:tc>
      </w:tr>
      <w:tr w:rsidR="006C19AE">
        <w:trPr>
          <w:trHeight w:val="567"/>
          <w:jc w:val="center"/>
        </w:trPr>
        <w:tc>
          <w:tcPr>
            <w:tcW w:w="1684" w:type="dxa"/>
            <w:vMerge/>
            <w:vAlign w:val="center"/>
          </w:tcPr>
          <w:p w:rsidR="006C19AE" w:rsidRDefault="006C19AE">
            <w:pPr>
              <w:spacing w:line="360" w:lineRule="auto"/>
              <w:jc w:val="center"/>
              <w:rPr>
                <w:rFonts w:ascii="宋体" w:eastAsia="宋体" w:hAnsi="宋体"/>
                <w:sz w:val="24"/>
                <w:szCs w:val="24"/>
              </w:rPr>
            </w:pPr>
          </w:p>
        </w:tc>
        <w:tc>
          <w:tcPr>
            <w:tcW w:w="863" w:type="dxa"/>
            <w:vMerge w:val="restart"/>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效益</w:t>
            </w:r>
          </w:p>
        </w:tc>
        <w:tc>
          <w:tcPr>
            <w:tcW w:w="113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社会效益指标</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活动影响力</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广大教师踊跃参加竞赛活动</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教师教学能力进一步</w:t>
            </w:r>
          </w:p>
        </w:tc>
      </w:tr>
      <w:tr w:rsidR="006C19AE">
        <w:trPr>
          <w:trHeight w:val="567"/>
          <w:jc w:val="center"/>
        </w:trPr>
        <w:tc>
          <w:tcPr>
            <w:tcW w:w="1684" w:type="dxa"/>
            <w:vMerge/>
            <w:vAlign w:val="center"/>
          </w:tcPr>
          <w:p w:rsidR="006C19AE" w:rsidRDefault="006C19AE">
            <w:pPr>
              <w:spacing w:line="360" w:lineRule="auto"/>
              <w:jc w:val="center"/>
              <w:rPr>
                <w:rFonts w:ascii="宋体" w:eastAsia="宋体" w:hAnsi="宋体"/>
                <w:sz w:val="24"/>
                <w:szCs w:val="24"/>
              </w:rPr>
            </w:pPr>
          </w:p>
        </w:tc>
        <w:tc>
          <w:tcPr>
            <w:tcW w:w="863" w:type="dxa"/>
            <w:vMerge/>
            <w:vAlign w:val="center"/>
          </w:tcPr>
          <w:p w:rsidR="006C19AE" w:rsidRDefault="006C19AE">
            <w:pPr>
              <w:spacing w:line="360" w:lineRule="auto"/>
              <w:jc w:val="center"/>
              <w:rPr>
                <w:rFonts w:ascii="宋体" w:eastAsia="宋体" w:hAnsi="宋体"/>
                <w:sz w:val="24"/>
                <w:szCs w:val="24"/>
              </w:rPr>
            </w:pPr>
          </w:p>
        </w:tc>
        <w:tc>
          <w:tcPr>
            <w:tcW w:w="113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服务对象满意度指标</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培训满意度</w:t>
            </w:r>
          </w:p>
        </w:tc>
        <w:tc>
          <w:tcPr>
            <w:tcW w:w="19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80%</w:t>
            </w:r>
          </w:p>
        </w:tc>
        <w:tc>
          <w:tcPr>
            <w:tcW w:w="1985"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85%</w:t>
            </w:r>
          </w:p>
        </w:tc>
      </w:tr>
      <w:tr w:rsidR="006C19AE">
        <w:trPr>
          <w:trHeight w:val="567"/>
          <w:jc w:val="center"/>
        </w:trPr>
        <w:tc>
          <w:tcPr>
            <w:tcW w:w="1684"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项目负责人</w:t>
            </w:r>
          </w:p>
        </w:tc>
        <w:tc>
          <w:tcPr>
            <w:tcW w:w="1997"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傅湘龙</w:t>
            </w:r>
          </w:p>
        </w:tc>
        <w:tc>
          <w:tcPr>
            <w:tcW w:w="2268" w:type="dxa"/>
            <w:vAlign w:val="center"/>
          </w:tcPr>
          <w:p w:rsidR="006C19AE" w:rsidRDefault="002B14C2">
            <w:pPr>
              <w:spacing w:line="360" w:lineRule="auto"/>
              <w:jc w:val="center"/>
              <w:rPr>
                <w:rFonts w:ascii="宋体" w:eastAsia="宋体" w:hAnsi="宋体"/>
                <w:sz w:val="24"/>
                <w:szCs w:val="24"/>
              </w:rPr>
            </w:pPr>
            <w:r>
              <w:rPr>
                <w:rFonts w:ascii="宋体" w:eastAsia="宋体" w:hAnsi="宋体" w:hint="eastAsia"/>
                <w:sz w:val="24"/>
                <w:szCs w:val="24"/>
              </w:rPr>
              <w:t>联系电话</w:t>
            </w:r>
          </w:p>
        </w:tc>
        <w:tc>
          <w:tcPr>
            <w:tcW w:w="3969" w:type="dxa"/>
            <w:gridSpan w:val="2"/>
            <w:vAlign w:val="center"/>
          </w:tcPr>
          <w:p w:rsidR="006C19AE" w:rsidRDefault="002B14C2">
            <w:pPr>
              <w:spacing w:line="360" w:lineRule="auto"/>
              <w:jc w:val="center"/>
              <w:rPr>
                <w:rFonts w:ascii="宋体" w:eastAsia="宋体" w:hAnsi="宋体"/>
                <w:sz w:val="24"/>
                <w:szCs w:val="24"/>
              </w:rPr>
            </w:pPr>
            <w:r>
              <w:rPr>
                <w:rFonts w:ascii="宋体" w:eastAsia="宋体" w:hAnsi="宋体"/>
                <w:sz w:val="24"/>
                <w:szCs w:val="24"/>
              </w:rPr>
              <w:t>37627182</w:t>
            </w:r>
          </w:p>
        </w:tc>
      </w:tr>
    </w:tbl>
    <w:p w:rsidR="006C19AE" w:rsidRDefault="006C19AE"/>
    <w:sectPr w:rsidR="006C19AE">
      <w:pgSz w:w="11906" w:h="16838"/>
      <w:pgMar w:top="2041" w:right="1418" w:bottom="1418" w:left="153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69" w:rsidRDefault="002B14C2">
      <w:r>
        <w:separator/>
      </w:r>
    </w:p>
  </w:endnote>
  <w:endnote w:type="continuationSeparator" w:id="0">
    <w:p w:rsidR="00335069" w:rsidRDefault="002B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69" w:rsidRDefault="002B14C2">
      <w:r>
        <w:separator/>
      </w:r>
    </w:p>
  </w:footnote>
  <w:footnote w:type="continuationSeparator" w:id="0">
    <w:p w:rsidR="00335069" w:rsidRDefault="002B1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15"/>
    <w:rsid w:val="0002161B"/>
    <w:rsid w:val="00065396"/>
    <w:rsid w:val="001163D6"/>
    <w:rsid w:val="00163D99"/>
    <w:rsid w:val="001642B8"/>
    <w:rsid w:val="00264CDF"/>
    <w:rsid w:val="002B14C2"/>
    <w:rsid w:val="002D3A82"/>
    <w:rsid w:val="00335069"/>
    <w:rsid w:val="003453CB"/>
    <w:rsid w:val="003B7AEB"/>
    <w:rsid w:val="003D1657"/>
    <w:rsid w:val="003E1BB7"/>
    <w:rsid w:val="0049175D"/>
    <w:rsid w:val="004A1921"/>
    <w:rsid w:val="004A2A09"/>
    <w:rsid w:val="004C36F1"/>
    <w:rsid w:val="00517449"/>
    <w:rsid w:val="00540915"/>
    <w:rsid w:val="00556BDD"/>
    <w:rsid w:val="005A428F"/>
    <w:rsid w:val="00610424"/>
    <w:rsid w:val="006134BF"/>
    <w:rsid w:val="00633860"/>
    <w:rsid w:val="006C19AE"/>
    <w:rsid w:val="00710148"/>
    <w:rsid w:val="007C70D3"/>
    <w:rsid w:val="00871CF5"/>
    <w:rsid w:val="008D6D3E"/>
    <w:rsid w:val="00926621"/>
    <w:rsid w:val="00932EC6"/>
    <w:rsid w:val="00B85772"/>
    <w:rsid w:val="00C03CC4"/>
    <w:rsid w:val="00C11315"/>
    <w:rsid w:val="00D420B0"/>
    <w:rsid w:val="00E01914"/>
    <w:rsid w:val="00E605F1"/>
    <w:rsid w:val="00E6107B"/>
    <w:rsid w:val="00E63555"/>
    <w:rsid w:val="00ED7AF2"/>
    <w:rsid w:val="00F2747B"/>
    <w:rsid w:val="00F7483E"/>
    <w:rsid w:val="00FB0896"/>
    <w:rsid w:val="332F058C"/>
    <w:rsid w:val="56FD1151"/>
    <w:rsid w:val="643924FF"/>
    <w:rsid w:val="7E516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tabs>
        <w:tab w:val="right" w:leader="dot" w:pos="8947"/>
      </w:tabs>
      <w:ind w:firstLineChars="200" w:firstLine="640"/>
    </w:pPr>
    <w:rPr>
      <w:rFonts w:ascii="仿宋_GB2312" w:eastAsia="仿宋_GB2312" w:hAnsi="黑体"/>
      <w:sz w:val="32"/>
      <w:szCs w:val="32"/>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tabs>
        <w:tab w:val="right" w:leader="dot" w:pos="8947"/>
      </w:tabs>
      <w:ind w:firstLineChars="200" w:firstLine="640"/>
    </w:pPr>
    <w:rPr>
      <w:rFonts w:ascii="仿宋_GB2312" w:eastAsia="仿宋_GB2312" w:hAnsi="黑体"/>
      <w:sz w:val="32"/>
      <w:szCs w:val="32"/>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7BC27-3F57-4474-96F7-7FF5D35E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1087</Characters>
  <Application>Microsoft Office Word</Application>
  <DocSecurity>0</DocSecurity>
  <Lines>9</Lines>
  <Paragraphs>2</Paragraphs>
  <ScaleCrop>false</ScaleCrop>
  <Company>gz</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 SHI</dc:creator>
  <cp:lastModifiedBy>唐青娜</cp:lastModifiedBy>
  <cp:revision>21</cp:revision>
  <dcterms:created xsi:type="dcterms:W3CDTF">2018-12-27T03:45:00Z</dcterms:created>
  <dcterms:modified xsi:type="dcterms:W3CDTF">2019-04-30T06:59:00Z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