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91" w:rsidRPr="003E1E9D" w:rsidRDefault="00B33091" w:rsidP="003E1E9D">
      <w:pPr>
        <w:adjustRightInd w:val="0"/>
        <w:snapToGrid w:val="0"/>
        <w:rPr>
          <w:rFonts w:ascii="仿宋_GB2312" w:eastAsia="仿宋_GB2312" w:hAnsi="方正小标宋简体" w:cs="方正小标宋简体"/>
          <w:spacing w:val="-7"/>
          <w:w w:val="105"/>
          <w:sz w:val="30"/>
          <w:szCs w:val="30"/>
        </w:rPr>
      </w:pPr>
      <w:bookmarkStart w:id="0" w:name="_GoBack"/>
      <w:bookmarkEnd w:id="0"/>
      <w:r w:rsidRPr="003E1E9D">
        <w:rPr>
          <w:rFonts w:ascii="仿宋_GB2312" w:eastAsia="仿宋_GB2312" w:hAnsi="方正小标宋简体" w:cs="方正小标宋简体" w:hint="eastAsia"/>
          <w:spacing w:val="-7"/>
          <w:w w:val="105"/>
          <w:sz w:val="30"/>
          <w:szCs w:val="30"/>
        </w:rPr>
        <w:t>附件</w:t>
      </w:r>
      <w:r w:rsidRPr="003E1E9D">
        <w:rPr>
          <w:rFonts w:ascii="仿宋_GB2312" w:eastAsia="仿宋_GB2312" w:hAnsi="方正小标宋简体" w:cs="方正小标宋简体"/>
          <w:spacing w:val="-7"/>
          <w:w w:val="105"/>
          <w:sz w:val="30"/>
          <w:szCs w:val="30"/>
        </w:rPr>
        <w:t>2：</w:t>
      </w:r>
    </w:p>
    <w:p w:rsidR="00B33091" w:rsidRDefault="00B33091" w:rsidP="001A1A3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2020年中央财政大气污染防治资金（第二批）</w:t>
      </w:r>
    </w:p>
    <w:p w:rsidR="00B33091" w:rsidRDefault="00B33091" w:rsidP="001A1A3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1A1A35">
      <w:pPr>
        <w:adjustRightInd w:val="0"/>
        <w:snapToGrid w:val="0"/>
        <w:jc w:val="center"/>
      </w:pPr>
      <w:r w:rsidRPr="00B83D2B">
        <w:rPr>
          <w:rFonts w:hint="eastAsia"/>
        </w:rPr>
        <w:t>（市本级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市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本级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EE6F1C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pacing w:val="-20"/>
                <w:w w:val="115"/>
                <w:sz w:val="24"/>
                <w:szCs w:val="24"/>
              </w:rPr>
              <w:t>/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128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3C0C54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2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诊断仪、便携式车用尿素浓度计、便携式林格曼黑度检测仪）及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2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套成品油硫含量快速检测仪。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3C0C54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3C0C54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4D12C1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Merge w:val="restart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成品油硫含量快速检测仪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2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成品油硫含量快速检测仪</w:t>
            </w:r>
            <w:r>
              <w:rPr>
                <w:rFonts w:eastAsia="楷体_GB2312"/>
                <w:color w:val="000000"/>
                <w:sz w:val="24"/>
              </w:rPr>
              <w:t>测量精度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满足国</w:t>
            </w:r>
            <w:r>
              <w:rPr>
                <w:rFonts w:eastAsia="楷体_GB2312"/>
                <w:color w:val="000000"/>
                <w:sz w:val="24"/>
              </w:rPr>
              <w:t>VI</w:t>
            </w:r>
            <w:r>
              <w:rPr>
                <w:rFonts w:eastAsia="楷体_GB2312"/>
                <w:color w:val="000000"/>
                <w:sz w:val="24"/>
              </w:rPr>
              <w:t>车用柴油硫含量检测要求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A337B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83D2B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83D2B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EE6F1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蓬江区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蓬江区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EE6F1C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蓬江分局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EE6F1C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EE6F1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江海区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江海区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江海分局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6435B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新会区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新会区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新会分局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6435B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台山市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台山市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台山分局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E85C24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开平市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开平市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开平分局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E85C24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鹤山市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鹤山市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鹤山分局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687858">
      <w:pPr>
        <w:pStyle w:val="2"/>
        <w:ind w:leftChars="0" w:left="0" w:firstLineChars="0" w:firstLine="0"/>
      </w:pP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2020年中央财政大气污染防治资金（第二批）</w:t>
      </w:r>
    </w:p>
    <w:p w:rsidR="00B33091" w:rsidRDefault="00B33091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B33091" w:rsidRPr="00B83D2B" w:rsidRDefault="00B33091" w:rsidP="00E85C24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恩平市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恩平市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恩平分局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687858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《关于进一步强化今冬明春大气污染防治工作的通知》（粤府明电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号）《广东省柴油货车污染治理攻坚战实施方案》（粤环发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B33091" w:rsidRPr="003C0C54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</w:p>
        </w:tc>
        <w:tc>
          <w:tcPr>
            <w:tcW w:w="900" w:type="dxa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1</w:t>
            </w:r>
            <w:r>
              <w:rPr>
                <w:rFonts w:eastAsia="楷体_GB2312"/>
                <w:kern w:val="0"/>
                <w:sz w:val="24"/>
              </w:rPr>
              <w:t>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w w:val="105"/>
                <w:sz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有校准证书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2020</w:t>
            </w:r>
            <w:r>
              <w:rPr>
                <w:rFonts w:eastAsia="楷体_GB2312"/>
                <w:sz w:val="24"/>
              </w:rPr>
              <w:t>年底前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不超预算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/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得到提升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不少于</w:t>
            </w: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eastAsia="楷体_GB2312"/>
                <w:kern w:val="0"/>
                <w:sz w:val="24"/>
              </w:rPr>
              <w:t>年</w:t>
            </w:r>
          </w:p>
        </w:tc>
      </w:tr>
      <w:tr w:rsidR="00B33091" w:rsidTr="00B228BF">
        <w:trPr>
          <w:trHeight w:val="363"/>
          <w:jc w:val="center"/>
        </w:trPr>
        <w:tc>
          <w:tcPr>
            <w:tcW w:w="688" w:type="dxa"/>
            <w:vMerge/>
          </w:tcPr>
          <w:p w:rsidR="00B33091" w:rsidRDefault="00B33091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900" w:type="dxa"/>
            <w:vMerge/>
          </w:tcPr>
          <w:p w:rsidR="00B33091" w:rsidRPr="00BA337B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B33091" w:rsidRDefault="00B33091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B33091" w:rsidRDefault="00B33091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基本满意</w:t>
            </w:r>
          </w:p>
        </w:tc>
      </w:tr>
    </w:tbl>
    <w:p w:rsidR="00B33091" w:rsidRPr="001A1A35" w:rsidRDefault="00B33091" w:rsidP="00687858">
      <w:pPr>
        <w:pStyle w:val="2"/>
        <w:ind w:leftChars="0" w:left="0" w:firstLineChars="0" w:firstLine="0"/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D2CE7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91" w:rsidRDefault="00B33091" w:rsidP="00B33091">
      <w:r>
        <w:separator/>
      </w:r>
    </w:p>
  </w:endnote>
  <w:endnote w:type="continuationSeparator" w:id="0">
    <w:p w:rsidR="00B33091" w:rsidRDefault="00B33091" w:rsidP="00B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5" w:rsidRDefault="00B3309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E2252" wp14:editId="0B775C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7155" w:rsidRDefault="00B33091">
                          <w:pPr>
                            <w:snapToGrid w:val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1E9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A7155" w:rsidRDefault="00B33091">
                    <w:pPr>
                      <w:snapToGrid w:val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E1E9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91" w:rsidRDefault="00B33091" w:rsidP="00B33091">
      <w:r>
        <w:separator/>
      </w:r>
    </w:p>
  </w:footnote>
  <w:footnote w:type="continuationSeparator" w:id="0">
    <w:p w:rsidR="00B33091" w:rsidRDefault="00B33091" w:rsidP="00B3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E1E9D"/>
    <w:rsid w:val="003F0D2F"/>
    <w:rsid w:val="005B091A"/>
    <w:rsid w:val="00957CDD"/>
    <w:rsid w:val="00B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Body Text First Indent 2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091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B3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091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B330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B33091"/>
    <w:rPr>
      <w:kern w:val="2"/>
      <w:sz w:val="21"/>
      <w:szCs w:val="24"/>
    </w:rPr>
  </w:style>
  <w:style w:type="paragraph" w:styleId="2">
    <w:name w:val="Body Text First Indent 2"/>
    <w:basedOn w:val="a5"/>
    <w:link w:val="2Char"/>
    <w:qFormat/>
    <w:rsid w:val="00B33091"/>
    <w:pPr>
      <w:spacing w:after="0"/>
      <w:ind w:firstLineChars="200" w:firstLine="420"/>
    </w:pPr>
    <w:rPr>
      <w:sz w:val="30"/>
      <w:szCs w:val="32"/>
    </w:rPr>
  </w:style>
  <w:style w:type="character" w:customStyle="1" w:styleId="2Char">
    <w:name w:val="正文首行缩进 2 Char"/>
    <w:basedOn w:val="Char1"/>
    <w:link w:val="2"/>
    <w:rsid w:val="00B33091"/>
    <w:rPr>
      <w:kern w:val="2"/>
      <w:sz w:val="30"/>
      <w:szCs w:val="32"/>
    </w:rPr>
  </w:style>
  <w:style w:type="paragraph" w:customStyle="1" w:styleId="TableParagraph">
    <w:name w:val="Table Paragraph"/>
    <w:basedOn w:val="a"/>
    <w:uiPriority w:val="1"/>
    <w:qFormat/>
    <w:rsid w:val="00B33091"/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Body Text First Indent 2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091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B3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091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B330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B33091"/>
    <w:rPr>
      <w:kern w:val="2"/>
      <w:sz w:val="21"/>
      <w:szCs w:val="24"/>
    </w:rPr>
  </w:style>
  <w:style w:type="paragraph" w:styleId="2">
    <w:name w:val="Body Text First Indent 2"/>
    <w:basedOn w:val="a5"/>
    <w:link w:val="2Char"/>
    <w:qFormat/>
    <w:rsid w:val="00B33091"/>
    <w:pPr>
      <w:spacing w:after="0"/>
      <w:ind w:firstLineChars="200" w:firstLine="420"/>
    </w:pPr>
    <w:rPr>
      <w:sz w:val="30"/>
      <w:szCs w:val="32"/>
    </w:rPr>
  </w:style>
  <w:style w:type="character" w:customStyle="1" w:styleId="2Char">
    <w:name w:val="正文首行缩进 2 Char"/>
    <w:basedOn w:val="Char1"/>
    <w:link w:val="2"/>
    <w:rsid w:val="00B33091"/>
    <w:rPr>
      <w:kern w:val="2"/>
      <w:sz w:val="30"/>
      <w:szCs w:val="32"/>
    </w:rPr>
  </w:style>
  <w:style w:type="paragraph" w:customStyle="1" w:styleId="TableParagraph">
    <w:name w:val="Table Paragraph"/>
    <w:basedOn w:val="a"/>
    <w:uiPriority w:val="1"/>
    <w:qFormat/>
    <w:rsid w:val="00B33091"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4221</Characters>
  <Application>Microsoft Office Word</Application>
  <DocSecurity>0</DocSecurity>
  <Lines>35</Lines>
  <Paragraphs>9</Paragraphs>
  <ScaleCrop>false</ScaleCrop>
  <Company>WwW.YlmF.CoM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唐青娜</cp:lastModifiedBy>
  <cp:revision>4</cp:revision>
  <dcterms:created xsi:type="dcterms:W3CDTF">2015-11-06T06:46:00Z</dcterms:created>
  <dcterms:modified xsi:type="dcterms:W3CDTF">2020-10-16T01:03:00Z</dcterms:modified>
</cp:coreProperties>
</file>