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600" w:lineRule="exact"/>
        <w:jc w:val="both"/>
        <w:rPr>
          <w:rFonts w:hint="eastAsia" w:ascii="黑体" w:hAnsi="黑体" w:eastAsia="黑体" w:cs="黑体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color w:val="666666"/>
          <w:spacing w:val="0"/>
          <w:sz w:val="32"/>
          <w:szCs w:val="32"/>
          <w:shd w:val="clear" w:fill="FFFFFF"/>
        </w:rPr>
        <w:t>附件2</w:t>
      </w:r>
    </w:p>
    <w:p>
      <w:pPr>
        <w:snapToGrid w:val="0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鹤山市西江大堤养护及河滩地保洁服务项目评分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细则</w:t>
      </w:r>
    </w:p>
    <w:p>
      <w:pPr>
        <w:snapToGrid w:val="0"/>
        <w:spacing w:before="0" w:after="0" w:line="240" w:lineRule="auto"/>
        <w:ind w:left="0" w:right="0"/>
        <w:jc w:val="both"/>
        <w:rPr>
          <w:rFonts w:ascii="仿宋" w:hAnsi="仿宋" w:eastAsia="仿宋"/>
          <w:color w:val="000000"/>
          <w:spacing w:val="0"/>
          <w:sz w:val="20"/>
          <w:szCs w:val="20"/>
        </w:rPr>
      </w:pPr>
    </w:p>
    <w:p>
      <w:pPr>
        <w:snapToGrid w:val="0"/>
        <w:spacing w:before="0" w:after="0" w:line="240" w:lineRule="auto"/>
        <w:ind w:left="0" w:right="0"/>
        <w:jc w:val="both"/>
        <w:rPr>
          <w:rFonts w:ascii="仿宋" w:hAnsi="仿宋" w:eastAsia="仿宋"/>
          <w:color w:val="000000"/>
          <w:spacing w:val="0"/>
          <w:sz w:val="20"/>
          <w:szCs w:val="20"/>
        </w:rPr>
      </w:pPr>
      <w:r>
        <w:rPr>
          <w:rFonts w:ascii="仿宋" w:hAnsi="仿宋" w:eastAsia="仿宋"/>
          <w:color w:val="000000"/>
          <w:spacing w:val="0"/>
          <w:sz w:val="20"/>
          <w:szCs w:val="20"/>
        </w:rPr>
        <w:t>本项目具体评分项目因素、权重及分值如下：</w:t>
      </w:r>
    </w:p>
    <w:tbl>
      <w:tblPr>
        <w:tblStyle w:val="5"/>
        <w:tblW w:w="906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19"/>
        <w:gridCol w:w="969"/>
        <w:gridCol w:w="835"/>
        <w:gridCol w:w="457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评分因素及权重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评分标准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00" w:hRule="atLeast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报价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超过采购限额的报价为无效报价，此项不得分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                                  2.低于所有报价的平均值的15%（不包括15%），此项不得分；                                  3.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满足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采购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要求且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有效报价中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最低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报价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为基准价，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报价得分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按以下公式计算：报价得分=(基准价／报价)×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，报价得分取整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数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人员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指标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25%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25分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1、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报价人为本项目配备的服务人员不少于2组，每组最少4人，得25分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2、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报价人为本项目配备的服务人员少于8人大于等于5人，得12分；                             3.报价人为本项目配备的服务人员少于等于4人不得分。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需提供人员姓名、身份证号，及报价人为其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购买的社保证明或者支付工资凭证（2021年8月到2022年2月，至少提供3个月）。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2" w:hRule="atLeast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设备指标5%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报价人针对本项目可投入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作业船、挖掘机、割草机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等设备，得5分；                                      其余不得分。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需提供设备行驶证或者购买发票（所有人为报价人），或者租赁合同复印件。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服务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能力25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25分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1.服务方案详细、可操作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性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强，得10分；          2.能在短时间内召集足够的人员和设备应对突击检查（需提供佐证材料），佐证材料充分得10分，无佐证材料此项不得分；                          3.承诺无条件配合业主单位完成上级布置的紧急任务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（单独出具一份承诺书）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，得5分。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default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此项提供的佐证材料不可与第2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项的证明材料重复。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业绩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1分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报价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人获得机构信用证明得1分，无不得分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提供国家或有关部门机构认定的复印件。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根据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报价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人近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五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年签订的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类似服务项目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的合同进行综合打分。业绩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8项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（即≥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8项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）以上为最优得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分，5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至8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（即&gt;5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，&lt;8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）为较好得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分，5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（即≤5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  <w:highlight w:val="none"/>
              </w:rPr>
              <w:t>）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以下为一般得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分。未提供有效证明材料为0分。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提供中标通知书或合同复印件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文件规范性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</w:t>
            </w:r>
          </w:p>
        </w:tc>
        <w:tc>
          <w:tcPr>
            <w:tcW w:w="457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报价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文件制作规范，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eastAsia="zh-CN"/>
              </w:rPr>
              <w:t>内容详细，各项资料符合要求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得</w:t>
            </w:r>
            <w:r>
              <w:rPr>
                <w:rFonts w:hint="eastAsia" w:ascii="仿宋" w:hAnsi="仿宋" w:eastAsia="仿宋"/>
                <w:color w:val="000000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分；有一项细微偏差扣1分，直至该项分值扣完为止。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color w:val="000000"/>
          <w:spacing w:val="0"/>
          <w:sz w:val="20"/>
          <w:szCs w:val="20"/>
          <w:lang w:val="en-US" w:eastAsia="zh-CN"/>
        </w:rPr>
        <w:t>备注：所提供材料必须盖单位公章。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471528"/>
    <w:rsid w:val="07452C87"/>
    <w:rsid w:val="07B24C7C"/>
    <w:rsid w:val="083D07F0"/>
    <w:rsid w:val="0AFD5B58"/>
    <w:rsid w:val="0B0D589D"/>
    <w:rsid w:val="0CDB7EF4"/>
    <w:rsid w:val="105E3B74"/>
    <w:rsid w:val="13197D9E"/>
    <w:rsid w:val="14682B1F"/>
    <w:rsid w:val="156D6511"/>
    <w:rsid w:val="16383183"/>
    <w:rsid w:val="1C2C4424"/>
    <w:rsid w:val="1CD54CE6"/>
    <w:rsid w:val="1DEC38DC"/>
    <w:rsid w:val="1E311F8E"/>
    <w:rsid w:val="20374989"/>
    <w:rsid w:val="226166EA"/>
    <w:rsid w:val="25EA7F46"/>
    <w:rsid w:val="30456175"/>
    <w:rsid w:val="36772279"/>
    <w:rsid w:val="39C62C3D"/>
    <w:rsid w:val="3B22429F"/>
    <w:rsid w:val="405E5DFF"/>
    <w:rsid w:val="434067C1"/>
    <w:rsid w:val="469D2F78"/>
    <w:rsid w:val="4D570120"/>
    <w:rsid w:val="4ED41007"/>
    <w:rsid w:val="568D20C3"/>
    <w:rsid w:val="576679C6"/>
    <w:rsid w:val="5A844C44"/>
    <w:rsid w:val="5D6446B5"/>
    <w:rsid w:val="635F0203"/>
    <w:rsid w:val="69CA36DE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4</TotalTime>
  <ScaleCrop>false</ScaleCrop>
  <LinksUpToDate>false</LinksUpToDate>
  <CharactersWithSpaces>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文佩</cp:lastModifiedBy>
  <dcterms:modified xsi:type="dcterms:W3CDTF">2022-02-22T01:32:12Z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A8F603D33CFF4ECF8B749EB4CBBC1696</vt:lpwstr>
  </property>
</Properties>
</file>