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rPr>
          <w:rFonts w:ascii="宋体" w:hAnsi="宋体" w:cs="宋体"/>
        </w:rPr>
      </w:pPr>
      <w:bookmarkStart w:id="0" w:name="PO_part2Table7"/>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tcPr>
          <w:p>
            <w:pPr>
              <w:jc w:val="center"/>
              <w:rPr>
                <w:rFonts w:ascii="宋体" w:hAnsi="宋体" w:cs="宋体"/>
                <w:b/>
              </w:rPr>
            </w:pPr>
            <w:r>
              <w:rPr>
                <w:rFonts w:hint="eastAsia" w:ascii="宋体" w:hAnsi="宋体" w:cs="宋体"/>
                <w:b/>
                <w:kern w:val="0"/>
                <w:sz w:val="32"/>
                <w:szCs w:val="32"/>
              </w:rPr>
              <w:t>一般公共预算财政拨款“三公”经费支出决算表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639" w:type="dxa"/>
            <w:gridSpan w:val="9"/>
            <w:tcBorders>
              <w:top w:val="nil"/>
              <w:left w:val="nil"/>
              <w:bottom w:val="single" w:color="auto" w:sz="4" w:space="0"/>
              <w:right w:val="nil"/>
            </w:tcBorders>
          </w:tcPr>
          <w:p>
            <w:pPr>
              <w:spacing w:line="288" w:lineRule="auto"/>
              <w:rPr>
                <w:rFonts w:ascii="宋体" w:hAnsi="宋体" w:cs="宋体"/>
                <w:sz w:val="28"/>
                <w:szCs w:val="28"/>
              </w:rPr>
            </w:pPr>
            <w:r>
              <w:rPr>
                <w:rFonts w:hint="eastAsia" w:ascii="宋体" w:hAnsi="宋体" w:cs="宋体"/>
                <w:kern w:val="0"/>
                <w:sz w:val="20"/>
                <w:szCs w:val="20"/>
              </w:rPr>
              <w:t>部门（单位）：</w:t>
            </w:r>
            <w:bookmarkStart w:id="1" w:name="PO_part2Table7DivName1"/>
            <w:r>
              <w:rPr>
                <w:rFonts w:hint="eastAsia" w:ascii="宋体" w:hAnsi="宋体" w:cs="宋体"/>
                <w:kern w:val="0"/>
                <w:sz w:val="20"/>
                <w:szCs w:val="20"/>
              </w:rPr>
              <w:t xml:space="preserve"> 鹤山市医疗保障局 </w:t>
            </w:r>
            <w:bookmarkEnd w:id="1"/>
          </w:p>
        </w:tc>
        <w:tc>
          <w:tcPr>
            <w:tcW w:w="3535" w:type="dxa"/>
            <w:gridSpan w:val="3"/>
            <w:tcBorders>
              <w:top w:val="nil"/>
              <w:left w:val="nil"/>
              <w:bottom w:val="single" w:color="auto" w:sz="4" w:space="0"/>
              <w:right w:val="nil"/>
            </w:tcBorders>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93" w:type="dxa"/>
            <w:gridSpan w:val="6"/>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预算数</w:t>
            </w:r>
          </w:p>
        </w:tc>
        <w:tc>
          <w:tcPr>
            <w:tcW w:w="7081" w:type="dxa"/>
            <w:gridSpan w:val="6"/>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restart"/>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因公出国（境）费</w:t>
            </w:r>
          </w:p>
        </w:tc>
        <w:tc>
          <w:tcPr>
            <w:tcW w:w="3546" w:type="dxa"/>
            <w:gridSpan w:val="3"/>
            <w:vAlign w:val="center"/>
          </w:tcPr>
          <w:p>
            <w:pPr>
              <w:jc w:val="center"/>
              <w:rPr>
                <w:rFonts w:ascii="宋体" w:hAnsi="宋体" w:cs="宋体"/>
                <w:szCs w:val="21"/>
              </w:rPr>
            </w:pPr>
            <w:r>
              <w:rPr>
                <w:rFonts w:hint="eastAsia" w:ascii="宋体" w:hAnsi="宋体" w:cs="宋体"/>
                <w:kern w:val="0"/>
                <w:szCs w:val="21"/>
              </w:rPr>
              <w:t>公务用车购置及运行费</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公务接待费</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pPr>
              <w:jc w:val="center"/>
              <w:rPr>
                <w:rFonts w:ascii="宋体" w:hAnsi="宋体" w:cs="宋体"/>
                <w:szCs w:val="21"/>
              </w:rPr>
            </w:pPr>
            <w:r>
              <w:rPr>
                <w:rFonts w:hint="eastAsia" w:ascii="宋体" w:hAnsi="宋体" w:cs="宋体"/>
                <w:kern w:val="0"/>
                <w:szCs w:val="21"/>
              </w:rPr>
              <w:t>因公出国（境）费</w:t>
            </w:r>
          </w:p>
        </w:tc>
        <w:tc>
          <w:tcPr>
            <w:tcW w:w="3546" w:type="dxa"/>
            <w:gridSpan w:val="3"/>
            <w:vAlign w:val="center"/>
          </w:tcPr>
          <w:p>
            <w:pPr>
              <w:jc w:val="center"/>
              <w:rPr>
                <w:rFonts w:ascii="宋体" w:hAnsi="宋体" w:cs="宋体"/>
                <w:szCs w:val="21"/>
              </w:rPr>
            </w:pPr>
            <w:r>
              <w:rPr>
                <w:rFonts w:hint="eastAsia" w:ascii="宋体" w:hAnsi="宋体" w:cs="宋体"/>
                <w:kern w:val="0"/>
                <w:szCs w:val="21"/>
              </w:rPr>
              <w:t>公务用车购置及运行费</w:t>
            </w:r>
          </w:p>
        </w:tc>
        <w:tc>
          <w:tcPr>
            <w:tcW w:w="1171" w:type="dxa"/>
            <w:vMerge w:val="restart"/>
            <w:vAlign w:val="center"/>
          </w:tcPr>
          <w:p>
            <w:pPr>
              <w:jc w:val="center"/>
              <w:rPr>
                <w:rFonts w:ascii="宋体" w:hAnsi="宋体" w:cs="宋体"/>
                <w:szCs w:val="21"/>
              </w:rPr>
            </w:pPr>
            <w:r>
              <w:rPr>
                <w:rFonts w:hint="eastAsia" w:ascii="宋体" w:hAnsi="宋体" w:cs="宋体"/>
                <w:kern w:val="0"/>
                <w:szCs w:val="21"/>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continue"/>
            <w:vAlign w:val="center"/>
          </w:tcPr>
          <w:p>
            <w:pPr>
              <w:spacing w:line="288" w:lineRule="auto"/>
              <w:jc w:val="center"/>
              <w:rPr>
                <w:rFonts w:ascii="宋体" w:hAnsi="宋体" w:cs="宋体"/>
                <w:szCs w:val="21"/>
              </w:rPr>
            </w:pPr>
          </w:p>
        </w:tc>
        <w:tc>
          <w:tcPr>
            <w:tcW w:w="1182" w:type="dxa"/>
            <w:vMerge w:val="continue"/>
            <w:vAlign w:val="center"/>
          </w:tcPr>
          <w:p>
            <w:pPr>
              <w:spacing w:line="288" w:lineRule="auto"/>
              <w:jc w:val="center"/>
              <w:rPr>
                <w:rFonts w:ascii="宋体" w:hAnsi="宋体" w:cs="宋体"/>
                <w:szCs w:val="21"/>
              </w:rPr>
            </w:pP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82" w:type="dxa"/>
            <w:vMerge w:val="continue"/>
            <w:vAlign w:val="center"/>
          </w:tcPr>
          <w:p>
            <w:pPr>
              <w:spacing w:line="288" w:lineRule="auto"/>
              <w:jc w:val="center"/>
              <w:rPr>
                <w:rFonts w:ascii="宋体" w:hAnsi="宋体" w:cs="宋体"/>
                <w:szCs w:val="21"/>
              </w:rPr>
            </w:pPr>
          </w:p>
        </w:tc>
        <w:tc>
          <w:tcPr>
            <w:tcW w:w="1182" w:type="dxa"/>
            <w:vMerge w:val="continue"/>
            <w:vAlign w:val="center"/>
          </w:tcPr>
          <w:p>
            <w:pPr>
              <w:spacing w:line="288" w:lineRule="auto"/>
              <w:jc w:val="center"/>
              <w:rPr>
                <w:rFonts w:ascii="宋体" w:hAnsi="宋体" w:cs="宋体"/>
                <w:szCs w:val="21"/>
              </w:rPr>
            </w:pPr>
          </w:p>
        </w:tc>
        <w:tc>
          <w:tcPr>
            <w:tcW w:w="1182" w:type="dxa"/>
            <w:vMerge w:val="continue"/>
            <w:vAlign w:val="center"/>
          </w:tcPr>
          <w:p>
            <w:pPr>
              <w:spacing w:line="288" w:lineRule="auto"/>
              <w:jc w:val="center"/>
              <w:rPr>
                <w:rFonts w:ascii="宋体" w:hAnsi="宋体" w:cs="宋体"/>
                <w:szCs w:val="21"/>
              </w:rPr>
            </w:pP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71" w:type="dxa"/>
            <w:vMerge w:val="continue"/>
            <w:vAlign w:val="center"/>
          </w:tcPr>
          <w:p>
            <w:pPr>
              <w:spacing w:line="288"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6</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7</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8</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9</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10</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11</w:t>
            </w:r>
          </w:p>
        </w:tc>
        <w:tc>
          <w:tcPr>
            <w:tcW w:w="1171" w:type="dxa"/>
            <w:vAlign w:val="center"/>
          </w:tcPr>
          <w:p>
            <w:pPr>
              <w:widowControl/>
              <w:jc w:val="center"/>
              <w:rPr>
                <w:rFonts w:ascii="宋体" w:hAnsi="宋体" w:cs="宋体"/>
                <w:kern w:val="0"/>
                <w:szCs w:val="21"/>
              </w:rPr>
            </w:pPr>
            <w:r>
              <w:rPr>
                <w:rFonts w:hint="eastAsia" w:ascii="宋体" w:hAnsi="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2.20</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1.20</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1.20</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1.00</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1.61</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1.20</w:t>
            </w:r>
            <w:bookmarkStart w:id="3" w:name="_GoBack"/>
            <w:bookmarkEnd w:id="3"/>
          </w:p>
        </w:tc>
        <w:tc>
          <w:tcPr>
            <w:tcW w:w="118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1.20</w:t>
            </w:r>
          </w:p>
        </w:tc>
        <w:tc>
          <w:tcPr>
            <w:tcW w:w="1171" w:type="dxa"/>
            <w:vAlign w:val="center"/>
          </w:tcPr>
          <w:p>
            <w:pPr>
              <w:widowControl/>
              <w:jc w:val="right"/>
              <w:rPr>
                <w:rFonts w:ascii="宋体" w:hAnsi="宋体" w:cs="宋体"/>
                <w:kern w:val="0"/>
                <w:szCs w:val="21"/>
              </w:rPr>
            </w:pPr>
            <w:r>
              <w:rPr>
                <w:rFonts w:ascii="宋体" w:hAnsi="宋体" w:cs="宋体"/>
                <w:kern w:val="0"/>
                <w:szCs w:val="21"/>
              </w:rPr>
              <w:t>0.41</w:t>
            </w:r>
          </w:p>
        </w:tc>
      </w:tr>
    </w:tbl>
    <w:p>
      <w:pPr>
        <w:spacing w:line="288" w:lineRule="auto"/>
        <w:rPr>
          <w:rFonts w:ascii="宋体" w:hAnsi="宋体" w:cs="宋体"/>
          <w:szCs w:val="21"/>
        </w:rPr>
      </w:pPr>
      <w:r>
        <w:rPr>
          <w:rFonts w:hint="eastAsia" w:ascii="宋体" w:hAnsi="宋体" w:cs="宋体"/>
          <w:szCs w:val="21"/>
        </w:rPr>
        <w:t>注：</w:t>
      </w:r>
      <w:bookmarkStart w:id="2" w:name="PO_part2Table1Remark7"/>
      <w:r>
        <w:rPr>
          <w:rFonts w:hint="eastAsia" w:ascii="宋体" w:hAnsi="宋体" w:cs="宋体"/>
          <w:szCs w:val="21"/>
        </w:rPr>
        <w:t>本表反映部门（单位）本年度“三公”经费支出预决算情况。其中，预算数为“三公”经费全年预算数，反映按规定程序调整后的预算数；决算数是包括当年一般公共预算财政拨款和以前年度结转资金安排的实际支出。</w:t>
      </w:r>
    </w:p>
    <w:p>
      <w:pPr>
        <w:spacing w:line="288" w:lineRule="auto"/>
        <w:ind w:firstLine="420" w:firstLineChars="200"/>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r>
        <w:rPr>
          <w:rFonts w:hint="eastAsia" w:ascii="宋体" w:hAnsi="宋体" w:cs="宋体"/>
          <w:szCs w:val="21"/>
        </w:rPr>
        <w:t xml:space="preserve">无数据的部门（单位）可增加本表本年度无发生额等表述。如有数据，无其他需备注事项，请删除本行内容  </w:t>
      </w:r>
      <w:bookmarkEnd w:id="2"/>
      <w:r>
        <w:rPr>
          <w:rFonts w:hint="eastAsia" w:ascii="宋体" w:hAnsi="宋体" w:cs="宋体"/>
          <w:sz w:val="28"/>
          <w:szCs w:val="28"/>
        </w:rPr>
        <w:t xml:space="preserve"> </w:t>
      </w:r>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Mzg1YzRhODY5NzRlZjYzOTM3NmRjMGFhMTc0Y2IifQ=="/>
  </w:docVars>
  <w:rsids>
    <w:rsidRoot w:val="00A751C8"/>
    <w:rsid w:val="00327DBE"/>
    <w:rsid w:val="00395E9F"/>
    <w:rsid w:val="003E630D"/>
    <w:rsid w:val="00A751C8"/>
    <w:rsid w:val="1734459D"/>
    <w:rsid w:val="1FA56AD6"/>
    <w:rsid w:val="575E5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Calibri" w:hAnsi="Calibri" w:eastAsia="宋体" w:cs="Times New Roman"/>
      <w:sz w:val="18"/>
      <w:szCs w:val="18"/>
    </w:rPr>
  </w:style>
  <w:style w:type="character" w:customStyle="1" w:styleId="7">
    <w:name w:val="页脚 Char"/>
    <w:basedOn w:val="5"/>
    <w:link w:val="2"/>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298</Words>
  <Characters>337</Characters>
  <Lines>2</Lines>
  <Paragraphs>1</Paragraphs>
  <TotalTime>15</TotalTime>
  <ScaleCrop>false</ScaleCrop>
  <LinksUpToDate>false</LinksUpToDate>
  <CharactersWithSpaces>342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2022-01-07T03:42:00Z</dcterms:created>
  <dc:creator>Windows 用户</dc:creator>
  <cp:lastModifiedBy>小鱼儿</cp:lastModifiedBy>
  <cp:lastPrinted>2022-01-07T06:47:00Z</cp:lastPrinted>
  <dcterms:modified xsi:type="dcterms:W3CDTF">2022-06-10T01:21:28Z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0A9C393C38334FD2B7415B498B23CA53</vt:lpwstr>
  </property>
</Properties>
</file>