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附件2</w:t>
      </w:r>
    </w:p>
    <w:p>
      <w:pPr>
        <w:jc w:val="center"/>
        <w:rPr>
          <w:rFonts w:eastAsia="仿宋"/>
          <w:szCs w:val="21"/>
        </w:rPr>
      </w:pPr>
      <w:r>
        <w:rPr>
          <w:rFonts w:hint="eastAsia" w:eastAsia="方正小标宋简体"/>
          <w:sz w:val="36"/>
          <w:szCs w:val="36"/>
        </w:rPr>
        <w:t>2022年中央财政大气、水污染防治资金——大气污染防治资金任务清单</w:t>
      </w:r>
    </w:p>
    <w:tbl>
      <w:tblPr>
        <w:tblStyle w:val="5"/>
        <w:tblW w:w="14743" w:type="dxa"/>
        <w:tblInd w:w="-31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"/>
        <w:gridCol w:w="992"/>
        <w:gridCol w:w="3119"/>
        <w:gridCol w:w="5812"/>
        <w:gridCol w:w="992"/>
        <w:gridCol w:w="850"/>
        <w:gridCol w:w="1560"/>
        <w:gridCol w:w="85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tblHeader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/>
                <w:b/>
                <w:bCs/>
                <w:color w:val="000000"/>
                <w:kern w:val="0"/>
                <w:sz w:val="24"/>
                <w:szCs w:val="24"/>
              </w:rPr>
              <w:t>地区</w:t>
            </w:r>
          </w:p>
        </w:tc>
        <w:tc>
          <w:tcPr>
            <w:tcW w:w="31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/>
                <w:b/>
                <w:bCs/>
                <w:color w:val="000000"/>
                <w:kern w:val="0"/>
                <w:sz w:val="24"/>
                <w:szCs w:val="24"/>
              </w:rPr>
              <w:t>补助项目名称</w:t>
            </w:r>
          </w:p>
        </w:tc>
        <w:tc>
          <w:tcPr>
            <w:tcW w:w="58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  <w:szCs w:val="24"/>
              </w:rPr>
              <w:t>工作量/绩效目标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  <w:szCs w:val="24"/>
              </w:rPr>
              <w:t>任务</w:t>
            </w:r>
            <w:r>
              <w:rPr>
                <w:rFonts w:eastAsia="仿宋_GB2312"/>
                <w:b/>
                <w:bCs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eastAsia="仿宋_GB2312"/>
                <w:b/>
                <w:bCs/>
                <w:color w:val="000000"/>
                <w:kern w:val="0"/>
                <w:sz w:val="24"/>
                <w:szCs w:val="24"/>
              </w:rPr>
              <w:t>性质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  <w:szCs w:val="24"/>
              </w:rPr>
              <w:t>实施</w:t>
            </w:r>
            <w:r>
              <w:rPr>
                <w:rFonts w:eastAsia="仿宋_GB2312"/>
                <w:b/>
                <w:bCs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eastAsia="仿宋_GB2312"/>
                <w:b/>
                <w:bCs/>
                <w:color w:val="000000"/>
                <w:kern w:val="0"/>
                <w:sz w:val="24"/>
                <w:szCs w:val="24"/>
              </w:rPr>
              <w:t>方式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  <w:szCs w:val="24"/>
              </w:rPr>
              <w:t>实施</w:t>
            </w:r>
          </w:p>
          <w:p>
            <w:pPr>
              <w:widowControl/>
              <w:jc w:val="center"/>
              <w:rPr>
                <w:rFonts w:eastAsia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  <w:szCs w:val="24"/>
              </w:rPr>
              <w:t>标准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  <w:szCs w:val="24"/>
              </w:rPr>
              <w:t>完成</w:t>
            </w:r>
            <w:r>
              <w:rPr>
                <w:rFonts w:eastAsia="仿宋_GB2312"/>
                <w:b/>
                <w:bCs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eastAsia="仿宋_GB2312"/>
                <w:b/>
                <w:bCs/>
                <w:color w:val="000000"/>
                <w:kern w:val="0"/>
                <w:sz w:val="24"/>
                <w:szCs w:val="24"/>
              </w:rPr>
              <w:t>时限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992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hint="eastAsia" w:eastAsia="仿宋_GB2312"/>
                <w:kern w:val="0"/>
                <w:sz w:val="24"/>
                <w:szCs w:val="24"/>
              </w:rPr>
              <w:t>鹤山市</w:t>
            </w:r>
          </w:p>
        </w:tc>
        <w:tc>
          <w:tcPr>
            <w:tcW w:w="31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  <w:t>鹤山市众一电路有限公司</w:t>
            </w: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VOCs治理升级改造项目</w:t>
            </w:r>
          </w:p>
        </w:tc>
        <w:tc>
          <w:tcPr>
            <w:tcW w:w="5812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hint="eastAsia" w:eastAsia="仿宋_GB2312"/>
                <w:kern w:val="0"/>
                <w:sz w:val="24"/>
                <w:szCs w:val="24"/>
              </w:rPr>
              <w:t>完成4家涉VOCs排放企业深度治理及升级改造，进一步提高企业VOCs污染治理能力。本辖区VOCs排放总量在2021年的基础上进一步削减，PM</w:t>
            </w:r>
            <w:r>
              <w:rPr>
                <w:rFonts w:hint="eastAsia" w:eastAsia="仿宋_GB2312"/>
                <w:kern w:val="0"/>
                <w:sz w:val="24"/>
                <w:szCs w:val="24"/>
                <w:vertAlign w:val="subscript"/>
              </w:rPr>
              <w:t>2.5</w:t>
            </w:r>
            <w:r>
              <w:rPr>
                <w:rFonts w:hint="eastAsia" w:eastAsia="仿宋_GB2312"/>
                <w:kern w:val="0"/>
                <w:sz w:val="24"/>
                <w:szCs w:val="24"/>
              </w:rPr>
              <w:t>浓度不高于28微克/立方米。</w:t>
            </w:r>
          </w:p>
        </w:tc>
        <w:tc>
          <w:tcPr>
            <w:tcW w:w="992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指导性任务</w:t>
            </w:r>
          </w:p>
        </w:tc>
        <w:tc>
          <w:tcPr>
            <w:tcW w:w="85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财政补助</w:t>
            </w:r>
          </w:p>
        </w:tc>
        <w:tc>
          <w:tcPr>
            <w:tcW w:w="156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szCs w:val="24"/>
              </w:rPr>
              <w:t>PM2.5浓度不高于28微克/立方米。</w:t>
            </w:r>
          </w:p>
        </w:tc>
        <w:tc>
          <w:tcPr>
            <w:tcW w:w="85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2022年底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992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  <w:t>鸿兴印刷（鹤山）有限公司</w:t>
            </w: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VOCs治理升级改造项目</w:t>
            </w:r>
          </w:p>
        </w:tc>
        <w:tc>
          <w:tcPr>
            <w:tcW w:w="5812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992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  <w:t>广东新红阳科技有限公司</w:t>
            </w: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VOCs治理升级改造项目</w:t>
            </w:r>
          </w:p>
        </w:tc>
        <w:tc>
          <w:tcPr>
            <w:tcW w:w="5812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9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  <w:bookmarkStart w:id="0" w:name="_GoBack"/>
            <w:bookmarkEnd w:id="0"/>
          </w:p>
        </w:tc>
        <w:tc>
          <w:tcPr>
            <w:tcW w:w="992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广东世运电路科技股份有限公司生产车间VOCs治理升级技术改造项目</w:t>
            </w:r>
          </w:p>
        </w:tc>
        <w:tc>
          <w:tcPr>
            <w:tcW w:w="5812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rPr>
          <w:rFonts w:eastAsia="仿宋"/>
          <w:sz w:val="32"/>
          <w:szCs w:val="32"/>
        </w:rPr>
      </w:pPr>
    </w:p>
    <w:p>
      <w:pPr>
        <w:rPr>
          <w:rFonts w:eastAsia="仿宋"/>
          <w:sz w:val="32"/>
          <w:szCs w:val="32"/>
        </w:rPr>
      </w:pPr>
    </w:p>
    <w:sectPr>
      <w:footerReference r:id="rId3" w:type="default"/>
      <w:footerReference r:id="rId4" w:type="even"/>
      <w:pgSz w:w="16838" w:h="11906" w:orient="landscape"/>
      <w:pgMar w:top="1361" w:right="1440" w:bottom="1474" w:left="1440" w:header="851" w:footer="794" w:gutter="0"/>
      <w:pgNumType w:fmt="numberInDash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1" w:fontKey="{A9048869-F1B2-49A2-A659-F5B99F0A6062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957A8966-BB9E-4B84-A059-DCBF79A45ADA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AE4B5F4E-7901-4613-93DD-E90D45FD97B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rFonts w:ascii="宋体" w:hAnsi="宋体"/>
        <w:sz w:val="32"/>
        <w:szCs w:val="32"/>
      </w:rPr>
    </w:pPr>
    <w:r>
      <w:rPr>
        <w:rFonts w:ascii="宋体" w:hAnsi="宋体"/>
        <w:sz w:val="32"/>
        <w:szCs w:val="32"/>
      </w:rPr>
      <w:fldChar w:fldCharType="begin"/>
    </w:r>
    <w:r>
      <w:rPr>
        <w:rFonts w:ascii="宋体" w:hAnsi="宋体"/>
        <w:sz w:val="32"/>
        <w:szCs w:val="32"/>
      </w:rPr>
      <w:instrText xml:space="preserve">PAGE   \* MERGEFORMAT</w:instrText>
    </w:r>
    <w:r>
      <w:rPr>
        <w:rFonts w:ascii="宋体" w:hAnsi="宋体"/>
        <w:sz w:val="32"/>
        <w:szCs w:val="32"/>
      </w:rPr>
      <w:fldChar w:fldCharType="separate"/>
    </w:r>
    <w:r>
      <w:rPr>
        <w:rFonts w:ascii="宋体" w:hAnsi="宋体"/>
        <w:sz w:val="32"/>
        <w:szCs w:val="32"/>
        <w:lang w:val="zh-CN"/>
      </w:rPr>
      <w:t>-</w:t>
    </w:r>
    <w:r>
      <w:rPr>
        <w:rFonts w:ascii="宋体" w:hAnsi="宋体"/>
        <w:sz w:val="32"/>
        <w:szCs w:val="32"/>
      </w:rPr>
      <w:t xml:space="preserve"> 1 -</w:t>
    </w:r>
    <w:r>
      <w:rPr>
        <w:rFonts w:ascii="宋体" w:hAnsi="宋体"/>
        <w:sz w:val="32"/>
        <w:szCs w:val="32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ascii="宋体" w:hAnsi="宋体"/>
        <w:sz w:val="32"/>
        <w:szCs w:val="32"/>
      </w:rPr>
    </w:pPr>
    <w:r>
      <w:rPr>
        <w:rFonts w:ascii="宋体" w:hAnsi="宋体"/>
        <w:sz w:val="32"/>
        <w:szCs w:val="32"/>
      </w:rPr>
      <w:fldChar w:fldCharType="begin"/>
    </w:r>
    <w:r>
      <w:rPr>
        <w:rFonts w:ascii="宋体" w:hAnsi="宋体"/>
        <w:sz w:val="32"/>
        <w:szCs w:val="32"/>
      </w:rPr>
      <w:instrText xml:space="preserve">PAGE   \* MERGEFORMAT</w:instrText>
    </w:r>
    <w:r>
      <w:rPr>
        <w:rFonts w:ascii="宋体" w:hAnsi="宋体"/>
        <w:sz w:val="32"/>
        <w:szCs w:val="32"/>
      </w:rPr>
      <w:fldChar w:fldCharType="separate"/>
    </w:r>
    <w:r>
      <w:rPr>
        <w:rFonts w:ascii="宋体" w:hAnsi="宋体"/>
        <w:sz w:val="32"/>
        <w:szCs w:val="32"/>
        <w:lang w:val="zh-CN"/>
      </w:rPr>
      <w:t>-</w:t>
    </w:r>
    <w:r>
      <w:rPr>
        <w:rFonts w:ascii="宋体" w:hAnsi="宋体"/>
        <w:sz w:val="32"/>
        <w:szCs w:val="32"/>
      </w:rPr>
      <w:t xml:space="preserve"> 2 -</w:t>
    </w:r>
    <w:r>
      <w:rPr>
        <w:rFonts w:ascii="宋体" w:hAnsi="宋体"/>
        <w:sz w:val="32"/>
        <w:szCs w:val="32"/>
      </w:rP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227"/>
    <w:rsid w:val="000148C2"/>
    <w:rsid w:val="000219D9"/>
    <w:rsid w:val="00036C84"/>
    <w:rsid w:val="000469CF"/>
    <w:rsid w:val="000557F0"/>
    <w:rsid w:val="000970EE"/>
    <w:rsid w:val="00097A31"/>
    <w:rsid w:val="000A56F8"/>
    <w:rsid w:val="000C30FB"/>
    <w:rsid w:val="000C3753"/>
    <w:rsid w:val="000E76E6"/>
    <w:rsid w:val="000F6008"/>
    <w:rsid w:val="00100F89"/>
    <w:rsid w:val="00102881"/>
    <w:rsid w:val="00105640"/>
    <w:rsid w:val="00106607"/>
    <w:rsid w:val="001203B0"/>
    <w:rsid w:val="00121F58"/>
    <w:rsid w:val="00125360"/>
    <w:rsid w:val="001465B4"/>
    <w:rsid w:val="00161876"/>
    <w:rsid w:val="00163BAD"/>
    <w:rsid w:val="00191931"/>
    <w:rsid w:val="001A4BA9"/>
    <w:rsid w:val="001B7A32"/>
    <w:rsid w:val="001C66F5"/>
    <w:rsid w:val="001E1F03"/>
    <w:rsid w:val="001F0ECE"/>
    <w:rsid w:val="00202227"/>
    <w:rsid w:val="00210578"/>
    <w:rsid w:val="0021135F"/>
    <w:rsid w:val="002125DF"/>
    <w:rsid w:val="00216549"/>
    <w:rsid w:val="0022244F"/>
    <w:rsid w:val="002310BC"/>
    <w:rsid w:val="002312E4"/>
    <w:rsid w:val="00257F84"/>
    <w:rsid w:val="0028589E"/>
    <w:rsid w:val="00296F16"/>
    <w:rsid w:val="002A4236"/>
    <w:rsid w:val="002C54C9"/>
    <w:rsid w:val="002C7CBB"/>
    <w:rsid w:val="002D0A75"/>
    <w:rsid w:val="002E4E92"/>
    <w:rsid w:val="002F39C5"/>
    <w:rsid w:val="00316205"/>
    <w:rsid w:val="00320916"/>
    <w:rsid w:val="00355700"/>
    <w:rsid w:val="00355CA7"/>
    <w:rsid w:val="00357EFF"/>
    <w:rsid w:val="00375146"/>
    <w:rsid w:val="00375744"/>
    <w:rsid w:val="003837D6"/>
    <w:rsid w:val="00383F59"/>
    <w:rsid w:val="003A6850"/>
    <w:rsid w:val="003F797B"/>
    <w:rsid w:val="00435B2D"/>
    <w:rsid w:val="00447ABF"/>
    <w:rsid w:val="004C3703"/>
    <w:rsid w:val="004E010B"/>
    <w:rsid w:val="004E5BBF"/>
    <w:rsid w:val="005243A3"/>
    <w:rsid w:val="005259BF"/>
    <w:rsid w:val="00540EF4"/>
    <w:rsid w:val="005755FF"/>
    <w:rsid w:val="005805BB"/>
    <w:rsid w:val="0059420D"/>
    <w:rsid w:val="005A149E"/>
    <w:rsid w:val="005B7A29"/>
    <w:rsid w:val="005D4789"/>
    <w:rsid w:val="005F033F"/>
    <w:rsid w:val="00673D25"/>
    <w:rsid w:val="00674E73"/>
    <w:rsid w:val="006854E5"/>
    <w:rsid w:val="00697CBA"/>
    <w:rsid w:val="006A3A4A"/>
    <w:rsid w:val="006C7267"/>
    <w:rsid w:val="006C758D"/>
    <w:rsid w:val="006F42BD"/>
    <w:rsid w:val="006F5C0A"/>
    <w:rsid w:val="00740F89"/>
    <w:rsid w:val="00795F83"/>
    <w:rsid w:val="007C3476"/>
    <w:rsid w:val="007D2733"/>
    <w:rsid w:val="007D3317"/>
    <w:rsid w:val="007F5532"/>
    <w:rsid w:val="00802F2D"/>
    <w:rsid w:val="008042F1"/>
    <w:rsid w:val="008205D5"/>
    <w:rsid w:val="00821ED9"/>
    <w:rsid w:val="0082392D"/>
    <w:rsid w:val="008740CB"/>
    <w:rsid w:val="00875A92"/>
    <w:rsid w:val="008A0DEF"/>
    <w:rsid w:val="008A69C4"/>
    <w:rsid w:val="008D55F5"/>
    <w:rsid w:val="008E1813"/>
    <w:rsid w:val="008E1DAE"/>
    <w:rsid w:val="008F4D9D"/>
    <w:rsid w:val="008F78D4"/>
    <w:rsid w:val="00951136"/>
    <w:rsid w:val="009660A5"/>
    <w:rsid w:val="009D0908"/>
    <w:rsid w:val="009E0C6C"/>
    <w:rsid w:val="00A062A4"/>
    <w:rsid w:val="00A33DA3"/>
    <w:rsid w:val="00A5203A"/>
    <w:rsid w:val="00A67844"/>
    <w:rsid w:val="00AE47EE"/>
    <w:rsid w:val="00AE528D"/>
    <w:rsid w:val="00AF7E6B"/>
    <w:rsid w:val="00B026DE"/>
    <w:rsid w:val="00B0710D"/>
    <w:rsid w:val="00B22C82"/>
    <w:rsid w:val="00B43E77"/>
    <w:rsid w:val="00B63818"/>
    <w:rsid w:val="00B91B71"/>
    <w:rsid w:val="00B95205"/>
    <w:rsid w:val="00BA6CEA"/>
    <w:rsid w:val="00BB2804"/>
    <w:rsid w:val="00BE28C4"/>
    <w:rsid w:val="00BE7454"/>
    <w:rsid w:val="00C32DB2"/>
    <w:rsid w:val="00C360B1"/>
    <w:rsid w:val="00C405AD"/>
    <w:rsid w:val="00C539D0"/>
    <w:rsid w:val="00C60E57"/>
    <w:rsid w:val="00C62A56"/>
    <w:rsid w:val="00C64B07"/>
    <w:rsid w:val="00C74A8D"/>
    <w:rsid w:val="00C95936"/>
    <w:rsid w:val="00CA7465"/>
    <w:rsid w:val="00CD46FD"/>
    <w:rsid w:val="00CD5950"/>
    <w:rsid w:val="00CF23B4"/>
    <w:rsid w:val="00D4046D"/>
    <w:rsid w:val="00D446B8"/>
    <w:rsid w:val="00D550C0"/>
    <w:rsid w:val="00D85AF5"/>
    <w:rsid w:val="00DA031B"/>
    <w:rsid w:val="00DB1405"/>
    <w:rsid w:val="00DC38FD"/>
    <w:rsid w:val="00DC723E"/>
    <w:rsid w:val="00DF0AF8"/>
    <w:rsid w:val="00DF22EB"/>
    <w:rsid w:val="00E23C23"/>
    <w:rsid w:val="00E24E8B"/>
    <w:rsid w:val="00E3027C"/>
    <w:rsid w:val="00E54B0D"/>
    <w:rsid w:val="00E624A4"/>
    <w:rsid w:val="00E670CA"/>
    <w:rsid w:val="00EA110C"/>
    <w:rsid w:val="00EC740E"/>
    <w:rsid w:val="00ED5811"/>
    <w:rsid w:val="00EE58E7"/>
    <w:rsid w:val="00F56CDE"/>
    <w:rsid w:val="00F63E18"/>
    <w:rsid w:val="00F67AE0"/>
    <w:rsid w:val="00FD705E"/>
    <w:rsid w:val="00FE1A36"/>
    <w:rsid w:val="00FE7F70"/>
    <w:rsid w:val="00FF1120"/>
    <w:rsid w:val="29967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uiPriority w:val="0"/>
    <w:rPr>
      <w:sz w:val="18"/>
      <w:szCs w:val="18"/>
    </w:rPr>
  </w:style>
  <w:style w:type="paragraph" w:styleId="3">
    <w:name w:val="footer"/>
    <w:basedOn w:val="1"/>
    <w:link w:val="1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page number"/>
    <w:basedOn w:val="7"/>
    <w:uiPriority w:val="0"/>
  </w:style>
  <w:style w:type="paragraph" w:customStyle="1" w:styleId="9">
    <w:name w:val="主题词"/>
    <w:basedOn w:val="1"/>
    <w:uiPriority w:val="0"/>
    <w:pPr>
      <w:spacing w:after="296" w:afterLines="50" w:line="600" w:lineRule="exact"/>
    </w:pPr>
    <w:rPr>
      <w:rFonts w:eastAsia="方正小标宋简体"/>
      <w:sz w:val="30"/>
    </w:rPr>
  </w:style>
  <w:style w:type="character" w:customStyle="1" w:styleId="10">
    <w:name w:val="页眉 Char"/>
    <w:link w:val="4"/>
    <w:uiPriority w:val="0"/>
    <w:rPr>
      <w:kern w:val="2"/>
      <w:sz w:val="18"/>
      <w:szCs w:val="18"/>
    </w:rPr>
  </w:style>
  <w:style w:type="character" w:customStyle="1" w:styleId="11">
    <w:name w:val="页脚 Char"/>
    <w:link w:val="3"/>
    <w:uiPriority w:val="99"/>
    <w:rPr>
      <w:kern w:val="2"/>
      <w:sz w:val="18"/>
      <w:szCs w:val="18"/>
    </w:rPr>
  </w:style>
  <w:style w:type="character" w:customStyle="1" w:styleId="12">
    <w:name w:val="批注框文本 Char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55263EE-57DB-42EB-8DFC-683F1EC614B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江门市环境保护局</Company>
  <Pages>2</Pages>
  <Words>176</Words>
  <Characters>1008</Characters>
  <Lines>8</Lines>
  <Paragraphs>2</Paragraphs>
  <TotalTime>0</TotalTime>
  <ScaleCrop>false</ScaleCrop>
  <LinksUpToDate>false</LinksUpToDate>
  <CharactersWithSpaces>1182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2022-12-15T04:41:00Z</dcterms:created>
  <dc:creator>吕婉静</dc:creator>
  <cp:lastModifiedBy>李文斌</cp:lastModifiedBy>
  <cp:lastPrinted>2022-04-08T10:18:00Z</cp:lastPrinted>
  <dcterms:modified xsi:type="dcterms:W3CDTF">2022-12-22T03:13:57Z</dcterms:modified>
  <dc:title>江门市环境保护局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