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20" w:lineRule="exact"/>
        <w:jc w:val="center"/>
        <w:rPr>
          <w:rFonts w:ascii="方正小标宋简体" w:hAnsi="黑体" w:eastAsia="方正小标宋简体" w:cs="宋体"/>
          <w:b/>
          <w:bCs/>
          <w:color w:val="auto"/>
          <w:sz w:val="44"/>
          <w:szCs w:val="44"/>
          <w:highlight w:val="none"/>
        </w:rPr>
      </w:pPr>
      <w:r>
        <w:rPr>
          <w:rFonts w:hint="eastAsia" w:ascii="方正小标宋简体" w:hAnsi="黑体" w:eastAsia="方正小标宋简体" w:cs="宋体"/>
          <w:b/>
          <w:bCs/>
          <w:color w:val="auto"/>
          <w:sz w:val="44"/>
          <w:szCs w:val="44"/>
          <w:highlight w:val="none"/>
        </w:rPr>
        <w:t xml:space="preserve"> </w:t>
      </w:r>
    </w:p>
    <w:p>
      <w:pPr>
        <w:pageBreakBefore w:val="0"/>
        <w:kinsoku/>
        <w:wordWrap/>
        <w:overflowPunct/>
        <w:topLinePunct w:val="0"/>
        <w:autoSpaceDE/>
        <w:autoSpaceDN/>
        <w:bidi w:val="0"/>
        <w:spacing w:line="520" w:lineRule="exact"/>
        <w:jc w:val="center"/>
        <w:rPr>
          <w:rFonts w:ascii="方正小标宋简体" w:hAnsi="黑体" w:eastAsia="方正小标宋简体" w:cs="宋体"/>
          <w:b/>
          <w:bCs/>
          <w:color w:val="auto"/>
          <w:sz w:val="44"/>
          <w:szCs w:val="44"/>
          <w:highlight w:val="none"/>
        </w:rPr>
      </w:pPr>
    </w:p>
    <w:p>
      <w:pPr>
        <w:pageBreakBefore w:val="0"/>
        <w:kinsoku/>
        <w:wordWrap/>
        <w:overflowPunct/>
        <w:topLinePunct w:val="0"/>
        <w:autoSpaceDE/>
        <w:autoSpaceDN/>
        <w:bidi w:val="0"/>
        <w:spacing w:line="520" w:lineRule="exact"/>
        <w:jc w:val="center"/>
        <w:rPr>
          <w:rFonts w:ascii="方正小标宋简体" w:hAnsi="黑体" w:eastAsia="方正小标宋简体" w:cs="宋体"/>
          <w:b/>
          <w:bCs/>
          <w:color w:val="auto"/>
          <w:sz w:val="44"/>
          <w:szCs w:val="44"/>
          <w:highlight w:val="none"/>
        </w:rPr>
      </w:pPr>
    </w:p>
    <w:p>
      <w:pPr>
        <w:pageBreakBefore w:val="0"/>
        <w:kinsoku/>
        <w:wordWrap/>
        <w:overflowPunct/>
        <w:topLinePunct w:val="0"/>
        <w:autoSpaceDE/>
        <w:autoSpaceDN/>
        <w:bidi w:val="0"/>
        <w:spacing w:line="520" w:lineRule="exact"/>
        <w:jc w:val="center"/>
        <w:rPr>
          <w:rFonts w:ascii="方正小标宋简体" w:hAnsi="黑体" w:eastAsia="方正小标宋简体" w:cs="宋体"/>
          <w:b/>
          <w:bCs/>
          <w:color w:val="auto"/>
          <w:sz w:val="44"/>
          <w:szCs w:val="44"/>
          <w:highlight w:val="none"/>
        </w:rPr>
      </w:pPr>
    </w:p>
    <w:p>
      <w:pPr>
        <w:pageBreakBefore w:val="0"/>
        <w:kinsoku/>
        <w:wordWrap/>
        <w:overflowPunct/>
        <w:topLinePunct w:val="0"/>
        <w:autoSpaceDE/>
        <w:autoSpaceDN/>
        <w:bidi w:val="0"/>
        <w:spacing w:line="520" w:lineRule="exact"/>
        <w:jc w:val="center"/>
        <w:rPr>
          <w:rFonts w:ascii="方正小标宋简体" w:hAnsi="黑体" w:eastAsia="方正小标宋简体" w:cs="宋体"/>
          <w:b/>
          <w:bCs/>
          <w:color w:val="auto"/>
          <w:sz w:val="44"/>
          <w:szCs w:val="44"/>
          <w:highlight w:val="none"/>
        </w:rPr>
      </w:pPr>
    </w:p>
    <w:p>
      <w:pPr>
        <w:pageBreakBefore w:val="0"/>
        <w:kinsoku/>
        <w:wordWrap/>
        <w:overflowPunct/>
        <w:topLinePunct w:val="0"/>
        <w:autoSpaceDE/>
        <w:autoSpaceDN/>
        <w:bidi w:val="0"/>
        <w:spacing w:line="520" w:lineRule="exact"/>
        <w:jc w:val="center"/>
        <w:rPr>
          <w:rFonts w:ascii="方正小标宋简体" w:hAnsi="黑体" w:eastAsia="方正小标宋简体" w:cs="宋体"/>
          <w:b/>
          <w:bCs/>
          <w:color w:val="auto"/>
          <w:sz w:val="44"/>
          <w:szCs w:val="44"/>
          <w:highlight w:val="none"/>
        </w:rPr>
      </w:pPr>
    </w:p>
    <w:p>
      <w:pPr>
        <w:pageBreakBefore w:val="0"/>
        <w:kinsoku/>
        <w:wordWrap/>
        <w:overflowPunct/>
        <w:topLinePunct w:val="0"/>
        <w:autoSpaceDE/>
        <w:autoSpaceDN/>
        <w:bidi w:val="0"/>
        <w:spacing w:line="520" w:lineRule="exact"/>
        <w:jc w:val="center"/>
        <w:rPr>
          <w:rFonts w:ascii="方正小标宋简体" w:hAnsi="黑体" w:eastAsia="方正小标宋简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rPr>
        <w:t>鹤山市养老服务体系建设“十四五”规划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b/>
          <w:bCs/>
          <w:color w:val="auto"/>
          <w:sz w:val="44"/>
          <w:szCs w:val="44"/>
          <w:highlight w:val="none"/>
          <w:lang w:val="en-US" w:eastAsia="zh-CN"/>
        </w:rPr>
      </w:pPr>
      <w:r>
        <w:rPr>
          <w:rFonts w:hint="eastAsia" w:ascii="方正小标宋_GBK" w:hAnsi="方正小标宋_GBK" w:eastAsia="方正小标宋_GBK" w:cs="方正小标宋_GBK"/>
          <w:b/>
          <w:bCs/>
          <w:color w:val="auto"/>
          <w:sz w:val="44"/>
          <w:szCs w:val="44"/>
          <w:highlight w:val="none"/>
          <w:lang w:eastAsia="zh-CN"/>
        </w:rPr>
        <w:t>（</w:t>
      </w:r>
      <w:r>
        <w:rPr>
          <w:rFonts w:hint="eastAsia" w:ascii="方正小标宋_GBK" w:hAnsi="方正小标宋_GBK" w:eastAsia="方正小标宋_GBK" w:cs="方正小标宋_GBK"/>
          <w:b/>
          <w:bCs/>
          <w:color w:val="auto"/>
          <w:sz w:val="44"/>
          <w:szCs w:val="44"/>
          <w:highlight w:val="none"/>
          <w:lang w:val="en-US" w:eastAsia="zh-CN"/>
        </w:rPr>
        <w:t>2021-2025年）</w:t>
      </w:r>
    </w:p>
    <w:p>
      <w:pPr>
        <w:pageBreakBefore w:val="0"/>
        <w:kinsoku/>
        <w:wordWrap/>
        <w:overflowPunct/>
        <w:topLinePunct w:val="0"/>
        <w:autoSpaceDE/>
        <w:autoSpaceDN/>
        <w:bidi w:val="0"/>
        <w:spacing w:line="520" w:lineRule="exact"/>
        <w:rPr>
          <w:color w:val="auto"/>
          <w:highlight w:val="none"/>
        </w:rPr>
      </w:pPr>
    </w:p>
    <w:p>
      <w:pPr>
        <w:pageBreakBefore w:val="0"/>
        <w:kinsoku/>
        <w:wordWrap/>
        <w:overflowPunct/>
        <w:topLinePunct w:val="0"/>
        <w:autoSpaceDE/>
        <w:autoSpaceDN/>
        <w:bidi w:val="0"/>
        <w:spacing w:line="520" w:lineRule="exact"/>
        <w:rPr>
          <w:color w:val="auto"/>
          <w:highlight w:val="none"/>
        </w:rPr>
      </w:pPr>
    </w:p>
    <w:p>
      <w:pPr>
        <w:pageBreakBefore w:val="0"/>
        <w:kinsoku/>
        <w:wordWrap/>
        <w:overflowPunct/>
        <w:topLinePunct w:val="0"/>
        <w:autoSpaceDE/>
        <w:autoSpaceDN/>
        <w:bidi w:val="0"/>
        <w:spacing w:line="520" w:lineRule="exact"/>
        <w:rPr>
          <w:color w:val="auto"/>
          <w:highlight w:val="none"/>
        </w:rPr>
      </w:pPr>
    </w:p>
    <w:p>
      <w:pPr>
        <w:pageBreakBefore w:val="0"/>
        <w:kinsoku/>
        <w:wordWrap/>
        <w:overflowPunct/>
        <w:topLinePunct w:val="0"/>
        <w:autoSpaceDE/>
        <w:autoSpaceDN/>
        <w:bidi w:val="0"/>
        <w:spacing w:line="520" w:lineRule="exact"/>
        <w:rPr>
          <w:color w:val="auto"/>
          <w:highlight w:val="none"/>
        </w:rPr>
      </w:pPr>
    </w:p>
    <w:p>
      <w:pPr>
        <w:pageBreakBefore w:val="0"/>
        <w:kinsoku/>
        <w:wordWrap/>
        <w:overflowPunct/>
        <w:topLinePunct w:val="0"/>
        <w:autoSpaceDE/>
        <w:autoSpaceDN/>
        <w:bidi w:val="0"/>
        <w:spacing w:line="520" w:lineRule="exact"/>
        <w:rPr>
          <w:color w:val="auto"/>
          <w:highlight w:val="none"/>
        </w:rPr>
      </w:pPr>
    </w:p>
    <w:p>
      <w:pPr>
        <w:pageBreakBefore w:val="0"/>
        <w:kinsoku/>
        <w:wordWrap/>
        <w:overflowPunct/>
        <w:topLinePunct w:val="0"/>
        <w:autoSpaceDE/>
        <w:autoSpaceDN/>
        <w:bidi w:val="0"/>
        <w:spacing w:line="520" w:lineRule="exact"/>
        <w:rPr>
          <w:color w:val="auto"/>
          <w:highlight w:val="none"/>
        </w:rPr>
      </w:pPr>
    </w:p>
    <w:p>
      <w:pPr>
        <w:pageBreakBefore w:val="0"/>
        <w:kinsoku/>
        <w:wordWrap/>
        <w:overflowPunct/>
        <w:topLinePunct w:val="0"/>
        <w:autoSpaceDE/>
        <w:autoSpaceDN/>
        <w:bidi w:val="0"/>
        <w:spacing w:line="520" w:lineRule="exact"/>
        <w:rPr>
          <w:color w:val="auto"/>
          <w:highlight w:val="none"/>
        </w:rPr>
      </w:pPr>
    </w:p>
    <w:p>
      <w:pPr>
        <w:pageBreakBefore w:val="0"/>
        <w:kinsoku/>
        <w:wordWrap/>
        <w:overflowPunct/>
        <w:topLinePunct w:val="0"/>
        <w:autoSpaceDE/>
        <w:autoSpaceDN/>
        <w:bidi w:val="0"/>
        <w:spacing w:line="520" w:lineRule="exact"/>
        <w:rPr>
          <w:color w:val="auto"/>
          <w:highlight w:val="none"/>
        </w:rPr>
      </w:pPr>
    </w:p>
    <w:p>
      <w:pPr>
        <w:pageBreakBefore w:val="0"/>
        <w:kinsoku/>
        <w:wordWrap/>
        <w:overflowPunct/>
        <w:topLinePunct w:val="0"/>
        <w:autoSpaceDE/>
        <w:autoSpaceDN/>
        <w:bidi w:val="0"/>
        <w:spacing w:line="520" w:lineRule="exact"/>
        <w:rPr>
          <w:color w:val="auto"/>
          <w:highlight w:val="none"/>
        </w:rPr>
      </w:pPr>
    </w:p>
    <w:p>
      <w:pPr>
        <w:pageBreakBefore w:val="0"/>
        <w:kinsoku/>
        <w:wordWrap/>
        <w:overflowPunct/>
        <w:topLinePunct w:val="0"/>
        <w:autoSpaceDE/>
        <w:autoSpaceDN/>
        <w:bidi w:val="0"/>
        <w:spacing w:line="520" w:lineRule="exact"/>
        <w:rPr>
          <w:color w:val="auto"/>
          <w:highlight w:val="none"/>
        </w:rPr>
      </w:pPr>
    </w:p>
    <w:p>
      <w:pPr>
        <w:pageBreakBefore w:val="0"/>
        <w:kinsoku/>
        <w:wordWrap/>
        <w:overflowPunct/>
        <w:topLinePunct w:val="0"/>
        <w:autoSpaceDE/>
        <w:autoSpaceDN/>
        <w:bidi w:val="0"/>
        <w:spacing w:line="520" w:lineRule="exact"/>
        <w:rPr>
          <w:color w:val="auto"/>
          <w:highlight w:val="none"/>
        </w:rPr>
      </w:pPr>
    </w:p>
    <w:p>
      <w:pPr>
        <w:pStyle w:val="35"/>
        <w:pageBreakBefore w:val="0"/>
        <w:kinsoku/>
        <w:wordWrap/>
        <w:overflowPunct/>
        <w:topLinePunct w:val="0"/>
        <w:autoSpaceDE/>
        <w:autoSpaceDN/>
        <w:bidi w:val="0"/>
        <w:spacing w:line="520" w:lineRule="exact"/>
        <w:jc w:val="both"/>
        <w:rPr>
          <w:rFonts w:hint="eastAsia" w:ascii="宋体" w:hAnsi="宋体" w:eastAsia="宋体" w:cs="宋体"/>
          <w:b/>
          <w:bCs/>
          <w:color w:val="auto"/>
          <w:kern w:val="2"/>
          <w:sz w:val="32"/>
          <w:szCs w:val="32"/>
          <w:highlight w:val="none"/>
          <w:lang w:val="zh-CN"/>
        </w:rPr>
        <w:sectPr>
          <w:pgSz w:w="11906" w:h="16838"/>
          <w:pgMar w:top="1440" w:right="1800" w:bottom="1440" w:left="1800" w:header="851" w:footer="992" w:gutter="0"/>
          <w:pgNumType w:fmt="decimal"/>
          <w:cols w:space="425" w:num="1"/>
          <w:docGrid w:type="lines" w:linePitch="312" w:charSpace="0"/>
        </w:sectPr>
      </w:pPr>
    </w:p>
    <w:sdt>
      <w:sdtPr>
        <w:rPr>
          <w:rFonts w:hint="eastAsia" w:ascii="宋体" w:hAnsi="宋体" w:eastAsia="宋体" w:cs="宋体"/>
          <w:b/>
          <w:bCs/>
          <w:color w:val="auto"/>
          <w:kern w:val="2"/>
          <w:sz w:val="32"/>
          <w:szCs w:val="32"/>
          <w:highlight w:val="none"/>
          <w:lang w:val="zh-CN"/>
        </w:rPr>
        <w:id w:val="-1238008804"/>
        <w:docPartObj>
          <w:docPartGallery w:val="Table of Contents"/>
          <w:docPartUnique/>
        </w:docPartObj>
      </w:sdtPr>
      <w:sdtEndPr>
        <w:rPr>
          <w:rFonts w:hint="eastAsia" w:ascii="宋体" w:hAnsi="宋体" w:eastAsia="宋体" w:cs="宋体"/>
          <w:b w:val="0"/>
          <w:bCs w:val="0"/>
          <w:color w:val="auto"/>
          <w:kern w:val="2"/>
          <w:sz w:val="24"/>
          <w:szCs w:val="24"/>
          <w:highlight w:val="none"/>
          <w:lang w:val="zh-CN"/>
        </w:rPr>
      </w:sdtEndPr>
      <w:sdtContent>
        <w:sdt>
          <w:sdtPr>
            <w:rPr>
              <w:rFonts w:hint="eastAsia" w:ascii="宋体" w:hAnsi="宋体" w:eastAsia="宋体" w:cs="宋体"/>
              <w:b/>
              <w:bCs/>
              <w:color w:val="auto"/>
              <w:kern w:val="2"/>
              <w:sz w:val="32"/>
              <w:szCs w:val="32"/>
              <w:highlight w:val="none"/>
              <w:lang w:val="zh-CN"/>
            </w:rPr>
            <w:id w:val="-1238008804"/>
            <w:docPartObj>
              <w:docPartGallery w:val="Table of Contents"/>
              <w:docPartUnique/>
            </w:docPartObj>
          </w:sdtPr>
          <w:sdtEndPr>
            <w:rPr>
              <w:rFonts w:hint="eastAsia" w:ascii="宋体" w:hAnsi="宋体" w:eastAsia="宋体" w:cs="宋体"/>
              <w:b w:val="0"/>
              <w:bCs w:val="0"/>
              <w:color w:val="auto"/>
              <w:kern w:val="2"/>
              <w:sz w:val="24"/>
              <w:szCs w:val="24"/>
              <w:highlight w:val="none"/>
              <w:lang w:val="zh-CN"/>
            </w:rPr>
          </w:sdtEndPr>
          <w:sdtContent>
            <w:p>
              <w:pPr>
                <w:pStyle w:val="35"/>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lang w:val="zh-CN" w:eastAsia="zh-CN"/>
                </w:rPr>
                <w:t>目</w:t>
              </w:r>
              <w:r>
                <w:rPr>
                  <w:rFonts w:hint="eastAsia" w:ascii="宋体" w:hAnsi="宋体" w:eastAsia="宋体" w:cs="宋体"/>
                  <w:b/>
                  <w:bCs/>
                  <w:color w:val="auto"/>
                  <w:sz w:val="32"/>
                  <w:szCs w:val="32"/>
                  <w:highlight w:val="none"/>
                  <w:lang w:val="zh-CN"/>
                </w:rPr>
                <w:t>录</w:t>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_Toc24589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前言</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_Toc17744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rPr>
                <w:t xml:space="preserve">第一章 </w:t>
              </w:r>
              <w:r>
                <w:rPr>
                  <w:rFonts w:hint="eastAsia" w:ascii="宋体" w:hAnsi="宋体" w:eastAsia="宋体" w:cs="宋体"/>
                  <w:b/>
                  <w:bCs/>
                  <w:color w:val="auto"/>
                  <w:sz w:val="24"/>
                  <w:szCs w:val="24"/>
                  <w:highlight w:val="none"/>
                  <w:lang w:val="en-US" w:eastAsia="zh-CN"/>
                </w:rPr>
                <w:t>规划背景</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_Toc8242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发展</w:t>
              </w:r>
              <w:r>
                <w:rPr>
                  <w:rFonts w:hint="eastAsia" w:ascii="宋体" w:hAnsi="宋体" w:eastAsia="宋体" w:cs="宋体"/>
                  <w:b/>
                  <w:bCs/>
                  <w:color w:val="auto"/>
                  <w:sz w:val="24"/>
                  <w:szCs w:val="24"/>
                  <w:highlight w:val="none"/>
                  <w:lang w:val="en-US" w:eastAsia="zh-CN"/>
                </w:rPr>
                <w:t>与成就</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_Toc21435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健全养老服务体制机制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6</w:t>
              </w:r>
              <w:r>
                <w:rPr>
                  <w:rFonts w:hint="eastAsia" w:ascii="宋体" w:hAnsi="宋体" w:eastAsia="宋体" w:cs="宋体"/>
                  <w:bCs/>
                  <w:color w:val="auto"/>
                  <w:sz w:val="24"/>
                  <w:szCs w:val="24"/>
                  <w:highlight w:val="none"/>
                  <w:lang w:val="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_Toc5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en-US" w:eastAsia="zh-CN"/>
                </w:rPr>
                <w:t>2.加速提升机构养老服务水平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6</w:t>
              </w:r>
              <w:r>
                <w:rPr>
                  <w:rFonts w:hint="eastAsia" w:ascii="宋体" w:hAnsi="宋体" w:eastAsia="宋体" w:cs="宋体"/>
                  <w:bCs/>
                  <w:color w:val="auto"/>
                  <w:sz w:val="24"/>
                  <w:szCs w:val="24"/>
                  <w:highlight w:val="none"/>
                  <w:lang w:val="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color w:val="auto"/>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_Toc5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en-US" w:eastAsia="zh-CN"/>
                </w:rPr>
                <w:t>3.加强安全管理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8</w:t>
              </w:r>
              <w:r>
                <w:rPr>
                  <w:rFonts w:hint="eastAsia" w:ascii="宋体" w:hAnsi="宋体" w:eastAsia="宋体" w:cs="宋体"/>
                  <w:bCs/>
                  <w:color w:val="auto"/>
                  <w:sz w:val="24"/>
                  <w:szCs w:val="24"/>
                  <w:highlight w:val="none"/>
                  <w:lang w:val="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_Toc11302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夯实居家社区养老服务基础</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z w:val="24"/>
                  <w:szCs w:val="24"/>
                  <w:highlight w:val="none"/>
                  <w:lang w:val="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_Toc17333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强化养老服务队伍专业能力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1</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1</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_Toc23648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存在问题</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1</w:t>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_Toc7992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rPr>
                <w:t>第二章 发展形势</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3</w:t>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_Toc21582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rPr>
                <w:t>第三章 总体要求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6</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_Toc12201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指导思想</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6</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基本原则</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16</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_Toc18996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zh-CN"/>
                </w:rPr>
                <w:t>三</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发展目标</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7</w:t>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_Toc24434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rPr>
                <w:t>第四章 主要任务和实施路径</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9</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default"/>
                  <w:highlight w:val="none"/>
                  <w:lang w:val="en-US" w:eastAsia="zh-CN"/>
                </w:rPr>
              </w:pPr>
              <w:r>
                <w:rPr>
                  <w:rFonts w:hint="eastAsia" w:ascii="宋体" w:hAnsi="宋体" w:eastAsia="宋体" w:cs="宋体"/>
                  <w:b/>
                  <w:bCs/>
                  <w:color w:val="auto"/>
                  <w:sz w:val="24"/>
                  <w:szCs w:val="24"/>
                  <w:highlight w:val="none"/>
                  <w:lang w:val="zh-CN"/>
                </w:rPr>
                <w:t>一、健全完善基本养老服务制度</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19</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
                  <w:bCs/>
                  <w:color w:val="auto"/>
                  <w:kern w:val="2"/>
                  <w:sz w:val="24"/>
                  <w:szCs w:val="24"/>
                  <w:highlight w:val="none"/>
                  <w:lang w:val="zh-CN" w:eastAsia="zh-CN" w:bidi="ar-SA"/>
                </w:rPr>
                <w:t>二、不断提升和优化养老机构服务功能</w:t>
              </w:r>
              <w:r>
                <w:rPr>
                  <w:rFonts w:hint="eastAsia" w:ascii="宋体" w:hAnsi="宋体" w:eastAsia="宋体" w:cs="宋体"/>
                  <w:b/>
                  <w:bCs/>
                  <w:color w:val="auto"/>
                  <w:kern w:val="2"/>
                  <w:sz w:val="24"/>
                  <w:szCs w:val="24"/>
                  <w:highlight w:val="none"/>
                  <w:lang w:val="zh-CN" w:eastAsia="zh-CN" w:bidi="ar-SA"/>
                </w:rPr>
                <w:tab/>
              </w:r>
              <w:r>
                <w:rPr>
                  <w:rFonts w:hint="eastAsia" w:ascii="宋体" w:hAnsi="宋体" w:eastAsia="宋体" w:cs="宋体"/>
                  <w:b/>
                  <w:bCs/>
                  <w:color w:val="auto"/>
                  <w:kern w:val="2"/>
                  <w:sz w:val="24"/>
                  <w:szCs w:val="24"/>
                  <w:highlight w:val="none"/>
                  <w:lang w:val="en-US" w:eastAsia="zh-CN" w:bidi="ar-SA"/>
                </w:rPr>
                <w:t>19</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default" w:eastAsia="宋体"/>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_Toc2175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强化公办养老机构“兜底线、保基本”功能</w:t>
              </w:r>
              <w:r>
                <w:rPr>
                  <w:rFonts w:hint="eastAsia" w:ascii="宋体" w:hAnsi="宋体" w:eastAsia="宋体" w:cs="宋体"/>
                  <w:color w:val="auto"/>
                  <w:sz w:val="24"/>
                  <w:szCs w:val="24"/>
                  <w:highlight w:val="none"/>
                </w:rPr>
                <w:tab/>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19</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_Toc23776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.加快特困人员供养服务设施（敬老院）改造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19</w:t>
              </w:r>
              <w:r>
                <w:rPr>
                  <w:rFonts w:hint="eastAsia" w:ascii="宋体" w:hAnsi="宋体" w:eastAsia="宋体" w:cs="宋体"/>
                  <w:bCs/>
                  <w:color w:val="auto"/>
                  <w:sz w:val="24"/>
                  <w:szCs w:val="24"/>
                  <w:highlight w:val="none"/>
                  <w:lang w:val="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_Toc20768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en-US" w:eastAsia="zh-CN"/>
                </w:rPr>
                <w:t>3.增强照护能力</w:t>
              </w:r>
              <w:r>
                <w:rPr>
                  <w:rFonts w:hint="eastAsia" w:ascii="宋体" w:hAnsi="宋体" w:eastAsia="宋体" w:cs="宋体"/>
                  <w:color w:val="auto"/>
                  <w:sz w:val="24"/>
                  <w:szCs w:val="24"/>
                  <w:highlight w:val="none"/>
                </w:rPr>
                <w:tab/>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20</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_Toc6953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en-US" w:eastAsia="zh-CN"/>
                </w:rPr>
                <w:t>4.深化公办养老机构改革</w:t>
              </w:r>
              <w:r>
                <w:rPr>
                  <w:rFonts w:hint="eastAsia" w:ascii="宋体" w:hAnsi="宋体" w:eastAsia="宋体" w:cs="宋体"/>
                  <w:color w:val="auto"/>
                  <w:sz w:val="24"/>
                  <w:szCs w:val="24"/>
                  <w:highlight w:val="none"/>
                </w:rPr>
                <w:tab/>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22</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_Toc25529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.引导扶持社会办养老机构发展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2</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_Toc748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zh-CN"/>
                </w:rPr>
                <w:t>三</w:t>
              </w:r>
              <w:r>
                <w:rPr>
                  <w:rFonts w:hint="eastAsia" w:ascii="宋体" w:hAnsi="宋体" w:eastAsia="宋体" w:cs="宋体"/>
                  <w:b/>
                  <w:bCs/>
                  <w:color w:val="auto"/>
                  <w:sz w:val="24"/>
                  <w:szCs w:val="24"/>
                  <w:highlight w:val="none"/>
                  <w:lang w:val="en-US" w:eastAsia="zh-CN"/>
                </w:rPr>
                <w:t>、全力推动居家社区养老服务扩容提质</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23</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rPr>
                <w:fldChar w:fldCharType="begin"/>
              </w:r>
              <w:r>
                <w:rPr>
                  <w:rFonts w:hint="eastAsia" w:ascii="宋体" w:hAnsi="宋体" w:eastAsia="宋体" w:cs="宋体"/>
                  <w:b w:val="0"/>
                  <w:bCs/>
                  <w:color w:val="auto"/>
                  <w:sz w:val="24"/>
                  <w:szCs w:val="24"/>
                  <w:highlight w:val="none"/>
                  <w:lang w:val="zh-CN"/>
                </w:rPr>
                <w:instrText xml:space="preserve"> HYPERLINK \l _Toc768 </w:instrText>
              </w:r>
              <w:r>
                <w:rPr>
                  <w:rFonts w:hint="eastAsia" w:ascii="宋体" w:hAnsi="宋体" w:eastAsia="宋体" w:cs="宋体"/>
                  <w:b w:val="0"/>
                  <w:bCs/>
                  <w:color w:val="auto"/>
                  <w:sz w:val="24"/>
                  <w:szCs w:val="24"/>
                  <w:highlight w:val="none"/>
                  <w:lang w:val="zh-CN"/>
                </w:rPr>
                <w:fldChar w:fldCharType="separate"/>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kern w:val="0"/>
                  <w:sz w:val="24"/>
                  <w:szCs w:val="24"/>
                  <w:highlight w:val="none"/>
                  <w:lang w:val="en-US" w:eastAsia="zh-CN" w:bidi="ar"/>
                </w:rPr>
                <w:t>.发挥家庭养老基础功能</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lang w:val="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zh-CN"/>
                </w:rPr>
                <w:fldChar w:fldCharType="begin"/>
              </w:r>
              <w:r>
                <w:rPr>
                  <w:rFonts w:hint="eastAsia" w:ascii="宋体" w:hAnsi="宋体" w:eastAsia="宋体" w:cs="宋体"/>
                  <w:b w:val="0"/>
                  <w:bCs/>
                  <w:color w:val="auto"/>
                  <w:sz w:val="24"/>
                  <w:szCs w:val="24"/>
                  <w:highlight w:val="none"/>
                  <w:lang w:val="zh-CN"/>
                </w:rPr>
                <w:instrText xml:space="preserve"> HYPERLINK \l _Toc30698 </w:instrText>
              </w:r>
              <w:r>
                <w:rPr>
                  <w:rFonts w:hint="eastAsia" w:ascii="宋体" w:hAnsi="宋体" w:eastAsia="宋体" w:cs="宋体"/>
                  <w:b w:val="0"/>
                  <w:bCs/>
                  <w:color w:val="auto"/>
                  <w:sz w:val="24"/>
                  <w:szCs w:val="24"/>
                  <w:highlight w:val="none"/>
                  <w:lang w:val="zh-CN"/>
                </w:rPr>
                <w:fldChar w:fldCharType="separate"/>
              </w:r>
              <w:r>
                <w:rPr>
                  <w:rFonts w:hint="eastAsia" w:ascii="宋体" w:hAnsi="宋体" w:eastAsia="宋体" w:cs="宋体"/>
                  <w:b w:val="0"/>
                  <w:bCs/>
                  <w:color w:val="auto"/>
                  <w:kern w:val="0"/>
                  <w:sz w:val="24"/>
                  <w:szCs w:val="24"/>
                  <w:highlight w:val="none"/>
                  <w:lang w:val="en-US" w:eastAsia="zh-CN" w:bidi="ar"/>
                </w:rPr>
                <w:t>7.完善居家社区服务设施</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lang w:val="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_Toc20266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8.提高运营服务水平</w:t>
              </w:r>
              <w:r>
                <w:rPr>
                  <w:rFonts w:hint="eastAsia" w:ascii="宋体" w:hAnsi="宋体" w:eastAsia="宋体" w:cs="宋体"/>
                  <w:color w:val="auto"/>
                  <w:sz w:val="24"/>
                  <w:szCs w:val="24"/>
                  <w:highlight w:val="none"/>
                </w:rPr>
                <w:tab/>
              </w: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lang w:val="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_Toc20266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9.补足农村居家养老服务短板</w:t>
              </w:r>
              <w:r>
                <w:rPr>
                  <w:rFonts w:hint="eastAsia" w:ascii="宋体" w:hAnsi="宋体" w:eastAsia="宋体" w:cs="宋体"/>
                  <w:color w:val="auto"/>
                  <w:sz w:val="24"/>
                  <w:szCs w:val="24"/>
                  <w:highlight w:val="none"/>
                </w:rPr>
                <w:tab/>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25</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default"/>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_Toc20266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10.发展为老志愿服务</w:t>
              </w:r>
              <w:r>
                <w:rPr>
                  <w:rFonts w:hint="eastAsia" w:ascii="宋体" w:hAnsi="宋体" w:eastAsia="宋体" w:cs="宋体"/>
                  <w:color w:val="auto"/>
                  <w:sz w:val="24"/>
                  <w:szCs w:val="24"/>
                  <w:highlight w:val="none"/>
                </w:rPr>
                <w:tab/>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26</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_Toc18166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en-US" w:eastAsia="zh-CN"/>
                </w:rPr>
                <w:t>四、多措并举推进养老服务提质增效</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lang w:val="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_Toc28021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11.激发养老服务市场化活力</w:t>
              </w:r>
              <w:r>
                <w:rPr>
                  <w:rFonts w:hint="eastAsia" w:ascii="宋体" w:hAnsi="宋体" w:eastAsia="宋体" w:cs="宋体"/>
                  <w:color w:val="auto"/>
                  <w:sz w:val="24"/>
                  <w:szCs w:val="24"/>
                  <w:highlight w:val="none"/>
                </w:rPr>
                <w:tab/>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27</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_Toc12419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12.规范养老服务标准化建设</w:t>
              </w:r>
              <w:r>
                <w:rPr>
                  <w:rFonts w:hint="eastAsia" w:ascii="宋体" w:hAnsi="宋体" w:eastAsia="宋体" w:cs="宋体"/>
                  <w:color w:val="auto"/>
                  <w:sz w:val="24"/>
                  <w:szCs w:val="24"/>
                  <w:highlight w:val="none"/>
                </w:rPr>
                <w:tab/>
              </w:r>
              <w:r>
                <w:rPr>
                  <w:rFonts w:hint="eastAsia" w:ascii="宋体" w:hAnsi="宋体" w:eastAsia="宋体" w:cs="宋体"/>
                  <w:bCs/>
                  <w:color w:val="auto"/>
                  <w:sz w:val="24"/>
                  <w:szCs w:val="24"/>
                  <w:highlight w:val="none"/>
                  <w:lang w:val="en-US" w:eastAsia="zh-CN"/>
                </w:rPr>
                <w:t>28</w:t>
              </w:r>
              <w:r>
                <w:rPr>
                  <w:rFonts w:hint="eastAsia" w:ascii="宋体" w:hAnsi="宋体" w:eastAsia="宋体" w:cs="宋体"/>
                  <w:bCs/>
                  <w:color w:val="auto"/>
                  <w:sz w:val="24"/>
                  <w:szCs w:val="24"/>
                  <w:highlight w:val="none"/>
                  <w:lang w:val="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_Toc10857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13.打破老年人数字鸿沟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8</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14.完善老年人关爱服务体系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30</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15.健全养老社会保障制度体系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31</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_Toc32625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en-US" w:eastAsia="zh-CN"/>
                </w:rPr>
                <w:t>五、发展壮大养老服务产业</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0</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_Toc21598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16.推动养老服务业态融合发展</w:t>
              </w:r>
              <w:r>
                <w:rPr>
                  <w:rFonts w:hint="eastAsia" w:ascii="宋体" w:hAnsi="宋体" w:eastAsia="宋体" w:cs="宋体"/>
                  <w:color w:val="auto"/>
                  <w:sz w:val="24"/>
                  <w:szCs w:val="24"/>
                  <w:highlight w:val="none"/>
                </w:rPr>
                <w:tab/>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31</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_Toc17658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17.扩大新型养老服务消费</w:t>
              </w:r>
              <w:r>
                <w:rPr>
                  <w:rFonts w:hint="eastAsia" w:ascii="宋体" w:hAnsi="宋体" w:eastAsia="宋体" w:cs="宋体"/>
                  <w:color w:val="auto"/>
                  <w:sz w:val="24"/>
                  <w:szCs w:val="24"/>
                  <w:highlight w:val="none"/>
                </w:rPr>
                <w:tab/>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1</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_Toc8876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18.提升老年人消费能力</w:t>
              </w:r>
              <w:r>
                <w:rPr>
                  <w:rFonts w:hint="eastAsia" w:ascii="宋体" w:hAnsi="宋体" w:eastAsia="宋体" w:cs="宋体"/>
                  <w:color w:val="auto"/>
                  <w:sz w:val="24"/>
                  <w:szCs w:val="24"/>
                  <w:highlight w:val="none"/>
                </w:rPr>
                <w:tab/>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32</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_Toc9760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en-US" w:eastAsia="zh-CN"/>
                </w:rPr>
                <w:t>六、强化养老服务发展资源要素保障</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2</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_Toc12784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19.加强养老服务人才培训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32</w:t>
              </w:r>
              <w:r>
                <w:rPr>
                  <w:rFonts w:hint="eastAsia" w:ascii="宋体" w:hAnsi="宋体" w:eastAsia="宋体" w:cs="宋体"/>
                  <w:bCs/>
                  <w:color w:val="auto"/>
                  <w:sz w:val="24"/>
                  <w:szCs w:val="24"/>
                  <w:highlight w:val="none"/>
                  <w:lang w:val="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_Toc10838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20.建立养老护理人员薪酬激励机制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3</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_Toc24471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bCs/>
                  <w:color w:val="auto"/>
                  <w:sz w:val="24"/>
                  <w:szCs w:val="24"/>
                  <w:highlight w:val="none"/>
                  <w:lang w:val="en-US" w:eastAsia="zh-CN"/>
                </w:rPr>
                <w:t>21.推动医护人员从事医养结合服务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3</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_Toc24471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bCs/>
                  <w:color w:val="auto"/>
                  <w:sz w:val="24"/>
                  <w:szCs w:val="24"/>
                  <w:highlight w:val="none"/>
                  <w:lang w:val="en-US" w:eastAsia="zh-CN"/>
                </w:rPr>
                <w:t>22.建立养老服务行业就业创业机制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3</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default"/>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_Toc24471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bCs/>
                  <w:color w:val="auto"/>
                  <w:sz w:val="24"/>
                  <w:szCs w:val="24"/>
                  <w:highlight w:val="none"/>
                  <w:lang w:val="en-US" w:eastAsia="zh-CN"/>
                </w:rPr>
                <w:t>23. 加强养老服务行业信用体系管理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4</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_Toc31687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24.落实简化医养结合机构审批流程</w:t>
              </w:r>
              <w:r>
                <w:rPr>
                  <w:rFonts w:hint="eastAsia" w:ascii="宋体" w:hAnsi="宋体" w:eastAsia="宋体" w:cs="宋体"/>
                  <w:color w:val="auto"/>
                  <w:sz w:val="24"/>
                  <w:szCs w:val="24"/>
                  <w:highlight w:val="none"/>
                </w:rPr>
                <w:tab/>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34</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_Toc25221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25.支持多种模式发展医养结合服务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5</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_Toc17245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bCs/>
                  <w:color w:val="auto"/>
                  <w:sz w:val="24"/>
                  <w:szCs w:val="24"/>
                  <w:highlight w:val="none"/>
                  <w:lang w:val="en-US" w:eastAsia="zh-CN"/>
                </w:rPr>
                <w:t>26.推进养老机构照护服务能力建设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5</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_Toc17245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bCs/>
                  <w:color w:val="auto"/>
                  <w:sz w:val="24"/>
                  <w:szCs w:val="24"/>
                  <w:highlight w:val="none"/>
                  <w:lang w:val="en-US" w:eastAsia="zh-CN"/>
                </w:rPr>
                <w:t>27.发展“养老+商保”照护保障项目。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5</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_Toc17245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bCs/>
                  <w:color w:val="auto"/>
                  <w:sz w:val="24"/>
                  <w:szCs w:val="24"/>
                  <w:highlight w:val="none"/>
                  <w:lang w:val="en-US" w:eastAsia="zh-CN"/>
                </w:rPr>
                <w:t>28.加强基层医疗卫生机构与社区养老服务机构规划建设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6</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_Toc17245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bCs/>
                  <w:color w:val="auto"/>
                  <w:sz w:val="24"/>
                  <w:szCs w:val="24"/>
                  <w:highlight w:val="none"/>
                  <w:lang w:val="en-US" w:eastAsia="zh-CN"/>
                </w:rPr>
                <w:t>29.丰富社区医养服务内容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6</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_Toc17245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bCs/>
                  <w:color w:val="auto"/>
                  <w:sz w:val="24"/>
                  <w:szCs w:val="24"/>
                  <w:highlight w:val="none"/>
                  <w:lang w:val="en-US" w:eastAsia="zh-CN"/>
                </w:rPr>
                <w:t>30.加大财税支持</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7</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highlight w:val="none"/>
                  <w:lang w:val="en-US" w:eastAsia="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_Toc17245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bCs/>
                  <w:color w:val="auto"/>
                  <w:sz w:val="24"/>
                  <w:szCs w:val="24"/>
                  <w:highlight w:val="none"/>
                  <w:lang w:val="en-US" w:eastAsia="zh-CN"/>
                </w:rPr>
                <w:t>31.大力发展银发经济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7</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_Toc22133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en-US" w:eastAsia="zh-CN"/>
                </w:rPr>
                <w:t>七、建立健全养老服务监管机制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38</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_Toc31687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2.聚焦养老服务监管重点领域</w:t>
              </w:r>
              <w:r>
                <w:rPr>
                  <w:rFonts w:hint="eastAsia" w:ascii="宋体" w:hAnsi="宋体" w:eastAsia="宋体" w:cs="宋体"/>
                  <w:color w:val="auto"/>
                  <w:sz w:val="24"/>
                  <w:szCs w:val="24"/>
                  <w:highlight w:val="none"/>
                </w:rPr>
                <w:tab/>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38</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_Toc25221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kern w:val="0"/>
                  <w:sz w:val="24"/>
                  <w:szCs w:val="24"/>
                  <w:highlight w:val="none"/>
                  <w:lang w:val="en-US" w:eastAsia="zh-CN" w:bidi="ar"/>
                </w:rPr>
                <w:t>3.创新养老服务监管方式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8</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0" w:firstLineChars="200"/>
                <w:textAlignment w:val="auto"/>
                <w:rPr>
                  <w:rFonts w:hint="eastAsia"/>
                  <w:highlight w:val="none"/>
                  <w:lang w:val="en-US"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_Toc17245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kern w:val="0"/>
                  <w:sz w:val="24"/>
                  <w:szCs w:val="24"/>
                  <w:highlight w:val="none"/>
                  <w:lang w:val="en-US" w:eastAsia="zh-CN" w:bidi="ar"/>
                </w:rPr>
                <w:t>.提升养老服务领域应急管理水平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en-US" w:eastAsia="zh-CN"/>
                </w:rPr>
                <w:t>9</w:t>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_Toc22029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rPr>
                <w:t>第五章 保障措施</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40</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_Toc24834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加强组织领导</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40</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_Toc3844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en-US" w:eastAsia="zh-CN"/>
                </w:rPr>
                <w:t>二、强化合力推进</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40</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_Toc4237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en-US" w:eastAsia="zh-CN"/>
                </w:rPr>
                <w:t>三、加大资金投入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40</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_Toc16564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en-US" w:eastAsia="zh-CN"/>
                </w:rPr>
                <w:t>四、深化改革创新</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1</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\l _Toc19366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en-US" w:eastAsia="zh-CN"/>
                </w:rPr>
                <w:t>五、强化监管评估</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en-US" w:eastAsia="zh-CN"/>
                </w:rPr>
                <w:t>1</w:t>
              </w:r>
            </w:p>
            <w:p>
              <w:pPr>
                <w:pageBreakBefore w:val="0"/>
                <w:kinsoku/>
                <w:wordWrap/>
                <w:overflowPunct/>
                <w:topLinePunct w:val="0"/>
                <w:autoSpaceDE/>
                <w:autoSpaceDN/>
                <w:bidi w:val="0"/>
                <w:adjustRightInd/>
                <w:snapToGrid/>
                <w:spacing w:line="480" w:lineRule="exact"/>
                <w:textAlignment w:val="auto"/>
                <w:rPr>
                  <w:rFonts w:hint="eastAsia" w:ascii="方正小标宋_GBK" w:hAnsi="方正小标宋_GBK" w:eastAsia="方正小标宋_GBK" w:cs="方正小标宋_GBK"/>
                  <w:color w:val="auto"/>
                  <w:sz w:val="44"/>
                  <w:szCs w:val="44"/>
                  <w:highlight w:val="none"/>
                </w:rPr>
              </w:pPr>
              <w:r>
                <w:rPr>
                  <w:rFonts w:hint="eastAsia" w:ascii="宋体" w:hAnsi="宋体" w:eastAsia="宋体" w:cs="宋体"/>
                  <w:bCs/>
                  <w:color w:val="auto"/>
                  <w:sz w:val="24"/>
                  <w:szCs w:val="24"/>
                  <w:highlight w:val="none"/>
                  <w:lang w:val="zh-CN"/>
                </w:rPr>
                <w:fldChar w:fldCharType="end"/>
              </w:r>
            </w:p>
          </w:sdtContent>
        </w:sdt>
      </w:sdtContent>
    </w:sdt>
    <w:p>
      <w:pPr>
        <w:rPr>
          <w:rFonts w:hint="eastAsia"/>
          <w:color w:val="auto"/>
          <w:highlight w:val="none"/>
        </w:rPr>
      </w:pPr>
    </w:p>
    <w:p>
      <w:pPr>
        <w:pStyle w:val="4"/>
        <w:pageBreakBefore w:val="0"/>
        <w:kinsoku/>
        <w:wordWrap/>
        <w:overflowPunct/>
        <w:topLinePunct w:val="0"/>
        <w:autoSpaceDE/>
        <w:autoSpaceDN/>
        <w:bidi w:val="0"/>
        <w:spacing w:before="0" w:after="0" w:line="560" w:lineRule="exact"/>
        <w:jc w:val="center"/>
        <w:rPr>
          <w:rFonts w:hint="eastAsia" w:ascii="方正小标宋_GBK" w:hAnsi="方正小标宋_GBK" w:eastAsia="方正小标宋_GBK" w:cs="方正小标宋_GBK"/>
          <w:color w:val="auto"/>
          <w:sz w:val="44"/>
          <w:szCs w:val="44"/>
          <w:highlight w:val="none"/>
        </w:rPr>
      </w:pPr>
    </w:p>
    <w:p>
      <w:pPr>
        <w:pStyle w:val="4"/>
        <w:pageBreakBefore w:val="0"/>
        <w:kinsoku/>
        <w:wordWrap/>
        <w:overflowPunct/>
        <w:topLinePunct w:val="0"/>
        <w:autoSpaceDE/>
        <w:autoSpaceDN/>
        <w:bidi w:val="0"/>
        <w:spacing w:before="0" w:after="0" w:line="560" w:lineRule="exact"/>
        <w:jc w:val="center"/>
        <w:rPr>
          <w:rFonts w:hint="eastAsia" w:ascii="方正小标宋_GBK" w:hAnsi="方正小标宋_GBK" w:eastAsia="方正小标宋_GBK" w:cs="方正小标宋_GBK"/>
          <w:color w:val="auto"/>
          <w:sz w:val="44"/>
          <w:szCs w:val="44"/>
          <w:highlight w:val="none"/>
        </w:rPr>
      </w:pPr>
    </w:p>
    <w:p>
      <w:pPr>
        <w:pStyle w:val="4"/>
        <w:pageBreakBefore w:val="0"/>
        <w:kinsoku/>
        <w:wordWrap/>
        <w:overflowPunct/>
        <w:topLinePunct w:val="0"/>
        <w:autoSpaceDE/>
        <w:autoSpaceDN/>
        <w:bidi w:val="0"/>
        <w:spacing w:before="0" w:after="0" w:line="560" w:lineRule="exact"/>
        <w:jc w:val="center"/>
        <w:rPr>
          <w:rFonts w:hint="eastAsia" w:ascii="方正小标宋_GBK" w:hAnsi="方正小标宋_GBK" w:eastAsia="方正小标宋_GBK" w:cs="方正小标宋_GBK"/>
          <w:color w:val="auto"/>
          <w:sz w:val="44"/>
          <w:szCs w:val="44"/>
          <w:highlight w:val="none"/>
        </w:rPr>
      </w:pPr>
    </w:p>
    <w:p>
      <w:pPr>
        <w:pStyle w:val="4"/>
        <w:pageBreakBefore w:val="0"/>
        <w:kinsoku/>
        <w:wordWrap/>
        <w:overflowPunct/>
        <w:topLinePunct w:val="0"/>
        <w:autoSpaceDE/>
        <w:autoSpaceDN/>
        <w:bidi w:val="0"/>
        <w:spacing w:before="0" w:after="0" w:line="560" w:lineRule="exact"/>
        <w:jc w:val="center"/>
        <w:rPr>
          <w:rFonts w:hint="eastAsia" w:ascii="方正小标宋_GBK" w:hAnsi="方正小标宋_GBK" w:eastAsia="方正小标宋_GBK" w:cs="方正小标宋_GBK"/>
          <w:color w:val="auto"/>
          <w:sz w:val="44"/>
          <w:szCs w:val="44"/>
          <w:highlight w:val="none"/>
        </w:rPr>
      </w:pPr>
    </w:p>
    <w:p>
      <w:pPr>
        <w:pStyle w:val="4"/>
        <w:pageBreakBefore w:val="0"/>
        <w:kinsoku/>
        <w:wordWrap/>
        <w:overflowPunct/>
        <w:topLinePunct w:val="0"/>
        <w:autoSpaceDE/>
        <w:autoSpaceDN/>
        <w:bidi w:val="0"/>
        <w:spacing w:before="0" w:after="0" w:line="560" w:lineRule="exact"/>
        <w:jc w:val="center"/>
        <w:rPr>
          <w:rFonts w:hint="eastAsia" w:ascii="方正小标宋_GBK" w:hAnsi="方正小标宋_GBK" w:eastAsia="方正小标宋_GBK" w:cs="方正小标宋_GBK"/>
          <w:color w:val="auto"/>
          <w:sz w:val="44"/>
          <w:szCs w:val="44"/>
          <w:highlight w:val="none"/>
        </w:rPr>
      </w:pPr>
    </w:p>
    <w:p>
      <w:pPr>
        <w:pStyle w:val="4"/>
        <w:pageBreakBefore w:val="0"/>
        <w:kinsoku/>
        <w:wordWrap/>
        <w:overflowPunct/>
        <w:topLinePunct w:val="0"/>
        <w:autoSpaceDE/>
        <w:autoSpaceDN/>
        <w:bidi w:val="0"/>
        <w:spacing w:before="0" w:after="0" w:line="560" w:lineRule="exact"/>
        <w:jc w:val="center"/>
        <w:rPr>
          <w:rFonts w:hint="eastAsia" w:ascii="方正小标宋_GBK" w:hAnsi="方正小标宋_GBK" w:eastAsia="方正小标宋_GBK" w:cs="方正小标宋_GBK"/>
          <w:color w:val="auto"/>
          <w:sz w:val="44"/>
          <w:szCs w:val="44"/>
          <w:highlight w:val="none"/>
        </w:rPr>
      </w:pPr>
    </w:p>
    <w:p>
      <w:pPr>
        <w:pStyle w:val="4"/>
        <w:pageBreakBefore w:val="0"/>
        <w:kinsoku/>
        <w:wordWrap/>
        <w:overflowPunct/>
        <w:topLinePunct w:val="0"/>
        <w:autoSpaceDE/>
        <w:autoSpaceDN/>
        <w:bidi w:val="0"/>
        <w:spacing w:before="0" w:after="0" w:line="560" w:lineRule="exact"/>
        <w:jc w:val="center"/>
        <w:rPr>
          <w:rFonts w:hint="eastAsia" w:ascii="方正小标宋_GBK" w:hAnsi="方正小标宋_GBK" w:eastAsia="方正小标宋_GBK" w:cs="方正小标宋_GBK"/>
          <w:color w:val="auto"/>
          <w:sz w:val="44"/>
          <w:szCs w:val="44"/>
          <w:highlight w:val="none"/>
        </w:rPr>
      </w:pPr>
    </w:p>
    <w:p>
      <w:pP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br w:type="page"/>
      </w:r>
    </w:p>
    <w:p>
      <w:pPr>
        <w:pStyle w:val="4"/>
        <w:pageBreakBefore w:val="0"/>
        <w:kinsoku/>
        <w:wordWrap/>
        <w:overflowPunct/>
        <w:topLinePunct w:val="0"/>
        <w:autoSpaceDE/>
        <w:autoSpaceDN/>
        <w:bidi w:val="0"/>
        <w:spacing w:before="0" w:after="0" w:line="560" w:lineRule="exact"/>
        <w:jc w:val="center"/>
        <w:rPr>
          <w:color w:val="auto"/>
          <w:highlight w:val="none"/>
        </w:rPr>
      </w:pPr>
      <w:r>
        <w:rPr>
          <w:rFonts w:hint="eastAsia" w:ascii="方正小标宋_GBK" w:hAnsi="方正小标宋_GBK" w:eastAsia="方正小标宋_GBK" w:cs="方正小标宋_GBK"/>
          <w:color w:val="auto"/>
          <w:sz w:val="44"/>
          <w:szCs w:val="44"/>
          <w:highlight w:val="none"/>
        </w:rPr>
        <w:t>前</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言</w:t>
      </w:r>
    </w:p>
    <w:p>
      <w:pPr>
        <w:pageBreakBefore w:val="0"/>
        <w:kinsoku/>
        <w:wordWrap/>
        <w:overflowPunct/>
        <w:topLinePunct w:val="0"/>
        <w:autoSpaceDE/>
        <w:autoSpaceDN/>
        <w:bidi w:val="0"/>
        <w:snapToGrid w:val="0"/>
        <w:spacing w:line="560" w:lineRule="exact"/>
        <w:ind w:firstLine="640" w:firstLineChars="200"/>
        <w:jc w:val="left"/>
        <w:rPr>
          <w:rFonts w:hint="eastAsia" w:ascii="方正仿宋_GBK" w:hAnsi="方正仿宋_GBK" w:eastAsia="方正仿宋_GBK" w:cs="方正仿宋_GBK"/>
          <w:color w:val="auto"/>
          <w:sz w:val="32"/>
          <w:szCs w:val="32"/>
          <w:highlight w:val="none"/>
        </w:rPr>
      </w:pPr>
    </w:p>
    <w:p>
      <w:pPr>
        <w:pageBreakBefore w:val="0"/>
        <w:kinsoku/>
        <w:wordWrap/>
        <w:overflowPunct/>
        <w:topLinePunct w:val="0"/>
        <w:autoSpaceDE/>
        <w:autoSpaceDN/>
        <w:bidi w:val="0"/>
        <w:snapToGrid w:val="0"/>
        <w:spacing w:line="560" w:lineRule="exact"/>
        <w:ind w:firstLine="640"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三五”期间，鹤山市委、市政府积极应对人口老龄化问题，将发展养老服务产业、提高养老服务水平、建构适老化社会纳入重点民生工作。五年间，鹤山市在推动养老机构发展、促进医养结合、切实提高老人福利待遇等方面进行了行之有效的探索，初步构建了以居家为基础、社区为依托、机构为补充、医养康养相结合的多元化养老服务体系。养老</w:t>
      </w:r>
      <w:r>
        <w:rPr>
          <w:rFonts w:hint="eastAsia" w:ascii="方正仿宋_GBK" w:hAnsi="方正仿宋_GBK" w:eastAsia="方正仿宋_GBK" w:cs="方正仿宋_GBK"/>
          <w:color w:val="auto"/>
          <w:sz w:val="32"/>
          <w:szCs w:val="32"/>
          <w:highlight w:val="none"/>
          <w:lang w:eastAsia="zh-CN"/>
        </w:rPr>
        <w:t>服务</w:t>
      </w:r>
      <w:r>
        <w:rPr>
          <w:rFonts w:hint="eastAsia" w:ascii="方正仿宋_GBK" w:hAnsi="方正仿宋_GBK" w:eastAsia="方正仿宋_GBK" w:cs="方正仿宋_GBK"/>
          <w:color w:val="auto"/>
          <w:sz w:val="32"/>
          <w:szCs w:val="32"/>
          <w:highlight w:val="none"/>
        </w:rPr>
        <w:t>工作取得一定成效。</w:t>
      </w:r>
    </w:p>
    <w:p>
      <w:pPr>
        <w:pageBreakBefore w:val="0"/>
        <w:kinsoku/>
        <w:wordWrap/>
        <w:overflowPunct/>
        <w:topLinePunct w:val="0"/>
        <w:autoSpaceDE/>
        <w:autoSpaceDN/>
        <w:bidi w:val="0"/>
        <w:snapToGrid w:val="0"/>
        <w:spacing w:line="560" w:lineRule="exact"/>
        <w:ind w:firstLine="640"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“十四五”时期是我国建成小康社会，实现第一个百年奋斗目标之后，开启全面建设社会主义现代化国家新征程、向第二个百年目标进军的第一个五年。随着人口老龄化问题愈加凸显，养老</w:t>
      </w:r>
      <w:r>
        <w:rPr>
          <w:rFonts w:hint="eastAsia" w:ascii="方正仿宋_GBK" w:hAnsi="方正仿宋_GBK" w:eastAsia="方正仿宋_GBK" w:cs="方正仿宋_GBK"/>
          <w:color w:val="auto"/>
          <w:sz w:val="32"/>
          <w:szCs w:val="32"/>
          <w:highlight w:val="none"/>
          <w:lang w:eastAsia="zh-CN"/>
        </w:rPr>
        <w:t>服务</w:t>
      </w:r>
      <w:r>
        <w:rPr>
          <w:rFonts w:hint="eastAsia" w:ascii="方正仿宋_GBK" w:hAnsi="方正仿宋_GBK" w:eastAsia="方正仿宋_GBK" w:cs="方正仿宋_GBK"/>
          <w:color w:val="auto"/>
          <w:sz w:val="32"/>
          <w:szCs w:val="32"/>
          <w:highlight w:val="none"/>
        </w:rPr>
        <w:t>工作已经成为横跨民生及经济两大领域的重要工作。加强养老服务体系建设的顶层设计与全面布局既有利于凝聚社会力量，全面提高老年人福祉，有效应对人口老龄化问题；也有利于增加就业岗位、拉动消费，更好实现小康社会建设目标。</w:t>
      </w:r>
    </w:p>
    <w:p>
      <w:pPr>
        <w:pageBreakBefore w:val="0"/>
        <w:kinsoku/>
        <w:wordWrap/>
        <w:overflowPunct/>
        <w:topLinePunct w:val="0"/>
        <w:autoSpaceDE/>
        <w:autoSpaceDN/>
        <w:bidi w:val="0"/>
        <w:snapToGrid w:val="0"/>
        <w:spacing w:line="560" w:lineRule="exact"/>
        <w:ind w:firstLine="640"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2020年8月，习近平总书记对如何做好“十四五”规划编制工作做出重要指示。他强调编制工作应把加强顶层设计和坚持“问计于民”统一起来，使之既满足社会需求、又聚合人民智慧与各界力量。鹤山市养老服务体系“十四五”规划的编制贯彻了习近平总书记的重要指示精神，立足地方、开门问策，紧抓粤港澳大湾区建设和支持深圳建设中国特色社会主义先行示范区的重大机遇，以完善区域养老产业布局、夯实养老服务质量、提升养老服务水平为抓手，建构</w:t>
      </w:r>
      <w:r>
        <w:rPr>
          <w:rStyle w:val="28"/>
          <w:rFonts w:hint="eastAsia" w:ascii="方正仿宋_GBK" w:hAnsi="方正仿宋_GBK" w:eastAsia="方正仿宋_GBK" w:cs="方正仿宋_GBK"/>
          <w:color w:val="auto"/>
          <w:sz w:val="32"/>
          <w:szCs w:val="32"/>
          <w:highlight w:val="none"/>
        </w:rPr>
        <w:t>居家社区机构相协调、医养康养相结合、</w:t>
      </w:r>
      <w:r>
        <w:rPr>
          <w:rFonts w:hint="eastAsia" w:ascii="方正仿宋_GBK" w:hAnsi="方正仿宋_GBK" w:eastAsia="方正仿宋_GBK" w:cs="方正仿宋_GBK"/>
          <w:color w:val="auto"/>
          <w:sz w:val="32"/>
          <w:szCs w:val="32"/>
          <w:highlight w:val="none"/>
        </w:rPr>
        <w:t>具有鹤山特色的大养老体系，全面推动鹤山养老</w:t>
      </w:r>
      <w:r>
        <w:rPr>
          <w:rFonts w:hint="eastAsia" w:ascii="方正仿宋_GBK" w:hAnsi="方正仿宋_GBK" w:eastAsia="方正仿宋_GBK" w:cs="方正仿宋_GBK"/>
          <w:color w:val="auto"/>
          <w:sz w:val="32"/>
          <w:szCs w:val="32"/>
          <w:highlight w:val="none"/>
          <w:lang w:eastAsia="zh-CN"/>
        </w:rPr>
        <w:t>服务</w:t>
      </w:r>
      <w:r>
        <w:rPr>
          <w:rFonts w:hint="eastAsia" w:ascii="方正仿宋_GBK" w:hAnsi="方正仿宋_GBK" w:eastAsia="方正仿宋_GBK" w:cs="方正仿宋_GBK"/>
          <w:color w:val="auto"/>
          <w:sz w:val="32"/>
          <w:szCs w:val="32"/>
          <w:highlight w:val="none"/>
        </w:rPr>
        <w:t>工作的高质量发展。规划期为2021年至2025年。</w:t>
      </w:r>
    </w:p>
    <w:p>
      <w:pPr>
        <w:pStyle w:val="2"/>
        <w:pageBreakBefore w:val="0"/>
        <w:kinsoku/>
        <w:wordWrap/>
        <w:overflowPunct/>
        <w:topLinePunct w:val="0"/>
        <w:autoSpaceDE/>
        <w:autoSpaceDN/>
        <w:bidi w:val="0"/>
        <w:spacing w:line="560" w:lineRule="exact"/>
        <w:ind w:left="0" w:leftChars="0" w:firstLine="0" w:firstLineChars="0"/>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sz w:val="32"/>
          <w:szCs w:val="32"/>
          <w:highlight w:val="none"/>
        </w:rPr>
      </w:pPr>
    </w:p>
    <w:p>
      <w:pPr>
        <w:pStyle w:val="4"/>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color w:val="auto"/>
          <w:sz w:val="32"/>
          <w:szCs w:val="32"/>
          <w:highlight w:val="none"/>
        </w:rPr>
      </w:pPr>
    </w:p>
    <w:p>
      <w:pPr>
        <w:pStyle w:val="4"/>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color w:val="auto"/>
          <w:sz w:val="32"/>
          <w:szCs w:val="32"/>
          <w:highlight w:val="none"/>
        </w:rPr>
      </w:pPr>
    </w:p>
    <w:p>
      <w:pPr>
        <w:pStyle w:val="4"/>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color w:val="auto"/>
          <w:sz w:val="32"/>
          <w:szCs w:val="32"/>
          <w:highlight w:val="none"/>
        </w:rPr>
      </w:pPr>
    </w:p>
    <w:p>
      <w:pPr>
        <w:pStyle w:val="4"/>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color w:val="auto"/>
          <w:sz w:val="32"/>
          <w:szCs w:val="32"/>
          <w:highlight w:val="none"/>
        </w:rPr>
      </w:pPr>
    </w:p>
    <w:p>
      <w:pPr>
        <w:pStyle w:val="4"/>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color w:val="auto"/>
          <w:sz w:val="32"/>
          <w:szCs w:val="32"/>
          <w:highlight w:val="none"/>
        </w:rPr>
      </w:pPr>
    </w:p>
    <w:p>
      <w:pPr>
        <w:pStyle w:val="4"/>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br w:type="column"/>
      </w:r>
      <w:r>
        <w:rPr>
          <w:rFonts w:hint="eastAsia" w:ascii="方正黑体_GBK" w:hAnsi="方正黑体_GBK" w:eastAsia="方正黑体_GBK" w:cs="方正黑体_GBK"/>
          <w:color w:val="auto"/>
          <w:sz w:val="44"/>
          <w:szCs w:val="44"/>
          <w:highlight w:val="none"/>
        </w:rPr>
        <w:t xml:space="preserve">第一章 </w:t>
      </w:r>
      <w:r>
        <w:rPr>
          <w:rFonts w:hint="eastAsia" w:ascii="方正黑体_GBK" w:hAnsi="方正黑体_GBK" w:eastAsia="方正黑体_GBK" w:cs="方正黑体_GBK"/>
          <w:color w:val="auto"/>
          <w:sz w:val="44"/>
          <w:szCs w:val="44"/>
          <w:highlight w:val="none"/>
          <w:lang w:val="en-US" w:eastAsia="zh-CN"/>
        </w:rPr>
        <w:t>规划背景</w:t>
      </w:r>
    </w:p>
    <w:p>
      <w:pPr>
        <w:pStyle w:val="5"/>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eastAsia" w:ascii="方正楷体_GBK" w:hAnsi="方正楷体_GBK" w:eastAsia="方正楷体_GBK" w:cs="方正楷体_GBK"/>
          <w:color w:val="auto"/>
          <w:sz w:val="32"/>
          <w:szCs w:val="32"/>
          <w:highlight w:val="none"/>
        </w:rPr>
        <w:t>发展</w:t>
      </w:r>
      <w:r>
        <w:rPr>
          <w:rFonts w:hint="eastAsia" w:ascii="方正楷体_GBK" w:hAnsi="方正楷体_GBK" w:eastAsia="方正楷体_GBK" w:cs="方正楷体_GBK"/>
          <w:color w:val="auto"/>
          <w:sz w:val="32"/>
          <w:szCs w:val="32"/>
          <w:highlight w:val="none"/>
          <w:lang w:val="en-US" w:eastAsia="zh-CN"/>
        </w:rPr>
        <w:t>与成就</w:t>
      </w:r>
    </w:p>
    <w:p>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十三五期间，鹤山市贯彻落实省市两级政府的养老</w:t>
      </w:r>
      <w:r>
        <w:rPr>
          <w:rFonts w:hint="eastAsia" w:ascii="方正仿宋_GBK" w:hAnsi="方正仿宋_GBK" w:eastAsia="方正仿宋_GBK" w:cs="方正仿宋_GBK"/>
          <w:color w:val="auto"/>
          <w:sz w:val="32"/>
          <w:szCs w:val="32"/>
          <w:highlight w:val="none"/>
          <w:lang w:eastAsia="zh-CN"/>
        </w:rPr>
        <w:t>服务</w:t>
      </w:r>
      <w:r>
        <w:rPr>
          <w:rFonts w:hint="eastAsia" w:ascii="方正仿宋_GBK" w:hAnsi="方正仿宋_GBK" w:eastAsia="方正仿宋_GBK" w:cs="方正仿宋_GBK"/>
          <w:color w:val="auto"/>
          <w:sz w:val="32"/>
          <w:szCs w:val="32"/>
          <w:highlight w:val="none"/>
        </w:rPr>
        <w:t>工作要求、全面提升养老服务水平，初步建立了多元化的养老服务体系。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bCs/>
          <w:color w:val="auto"/>
          <w:sz w:val="32"/>
          <w:szCs w:val="32"/>
          <w:highlight w:val="none"/>
          <w:lang w:val="en-US" w:eastAsia="zh-CN"/>
        </w:rPr>
        <w:t>1.</w:t>
      </w:r>
      <w:r>
        <w:rPr>
          <w:rFonts w:hint="eastAsia" w:ascii="方正仿宋_GBK" w:hAnsi="方正仿宋_GBK" w:eastAsia="方正仿宋_GBK" w:cs="方正仿宋_GBK"/>
          <w:b/>
          <w:bCs/>
          <w:color w:val="auto"/>
          <w:sz w:val="32"/>
          <w:szCs w:val="32"/>
          <w:highlight w:val="none"/>
        </w:rPr>
        <w:t>健全养老服务体制机制</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val="0"/>
          <w:bCs w:val="0"/>
          <w:color w:val="auto"/>
          <w:kern w:val="2"/>
          <w:sz w:val="32"/>
          <w:szCs w:val="32"/>
          <w:highlight w:val="none"/>
          <w:lang w:val="en-US" w:eastAsia="zh-CN" w:bidi="ar-SA"/>
        </w:rPr>
        <w:t>在全面贯彻落实省市两级政府提出的关于“发展医养结合”、“发展康养”、“提升养老机构服务质量”、“发展居家社区养老”等工作要求的基础上，根据本市特点，先后出台了包括《鹤山市养老扶残设施布局专项规划（2015—2020）》、养老机构服务质量提升、老年人能力评估、留守老人巡访、高龄老人补贴、平安通、乘车优惠在内等系列养老服务工作政策及惠老政策，初步建立了符合鹤山实际的养老服务政策体系，保障了“十三五”期间养老服务工作的高质量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i w:val="0"/>
          <w:iCs w:val="0"/>
          <w:color w:val="auto"/>
          <w:sz w:val="32"/>
          <w:szCs w:val="32"/>
          <w:highlight w:val="none"/>
          <w:lang w:val="en-US" w:eastAsia="zh-CN"/>
        </w:rPr>
        <w:t>2.加速提升机构养老服务水平。</w:t>
      </w:r>
      <w:r>
        <w:rPr>
          <w:rFonts w:hint="eastAsia" w:ascii="方正仿宋_GBK" w:hAnsi="方正仿宋_GBK" w:eastAsia="方正仿宋_GBK" w:cs="方正仿宋_GBK"/>
          <w:color w:val="auto"/>
          <w:sz w:val="32"/>
          <w:szCs w:val="32"/>
          <w:highlight w:val="none"/>
        </w:rPr>
        <w:t>“十三五”期间我市共有养老机构1</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家，包括</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家公建民营、</w:t>
      </w: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rPr>
        <w:t>家公办以及2家民办机构。通过“公建民营”模式，鼓励社会组织以委托管理方式运营公有产权的养老服务设施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近年来共引入社会资本约1700万元，对雅瑶镇敬老院、龙口镇敬老院、沙坪街道敬老院、鹤城镇敬老院进行升级改造</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为提升机构服务质量，我市组织开展养老院服务质量大检查及“回头看”</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“再回头看”等专项行动对机构的</w:t>
      </w:r>
      <w:r>
        <w:rPr>
          <w:rFonts w:hint="eastAsia" w:ascii="方正仿宋_GBK" w:hAnsi="方正仿宋_GBK" w:eastAsia="方正仿宋_GBK" w:cs="方正仿宋_GBK"/>
          <w:color w:val="auto"/>
          <w:sz w:val="32"/>
          <w:szCs w:val="32"/>
          <w:highlight w:val="none"/>
          <w:lang w:eastAsia="zh-CN"/>
        </w:rPr>
        <w:t>管理、</w:t>
      </w:r>
      <w:r>
        <w:rPr>
          <w:rFonts w:hint="eastAsia" w:ascii="方正仿宋_GBK" w:hAnsi="方正仿宋_GBK" w:eastAsia="方正仿宋_GBK" w:cs="方正仿宋_GBK"/>
          <w:color w:val="auto"/>
          <w:sz w:val="32"/>
          <w:szCs w:val="32"/>
          <w:highlight w:val="none"/>
        </w:rPr>
        <w:t>服务、安全、配套设施等方面进行检查，</w:t>
      </w:r>
      <w:r>
        <w:rPr>
          <w:rFonts w:hint="eastAsia" w:ascii="方正仿宋_GBK" w:hAnsi="方正仿宋_GBK" w:eastAsia="方正仿宋_GBK" w:cs="方正仿宋_GBK"/>
          <w:color w:val="auto"/>
          <w:sz w:val="32"/>
          <w:szCs w:val="32"/>
          <w:highlight w:val="none"/>
          <w:u w:val="none"/>
          <w:lang w:eastAsia="zh-CN"/>
        </w:rPr>
        <w:t>推动养老服务</w:t>
      </w:r>
      <w:r>
        <w:rPr>
          <w:rFonts w:hint="eastAsia" w:ascii="方正仿宋_GBK" w:hAnsi="方正仿宋_GBK" w:eastAsia="方正仿宋_GBK" w:cs="方正仿宋_GBK"/>
          <w:color w:val="auto"/>
          <w:sz w:val="32"/>
          <w:szCs w:val="32"/>
          <w:highlight w:val="none"/>
          <w:u w:val="none"/>
        </w:rPr>
        <w:t>机构落实安全责任</w:t>
      </w:r>
      <w:r>
        <w:rPr>
          <w:rFonts w:hint="eastAsia" w:ascii="方正仿宋_GBK" w:hAnsi="方正仿宋_GBK" w:eastAsia="方正仿宋_GBK" w:cs="方正仿宋_GBK"/>
          <w:color w:val="auto"/>
          <w:sz w:val="32"/>
          <w:szCs w:val="32"/>
          <w:highlight w:val="none"/>
          <w:u w:val="none"/>
          <w:lang w:eastAsia="zh-CN"/>
        </w:rPr>
        <w:t>；加强养老服务机构全方位保障，实施</w:t>
      </w:r>
      <w:r>
        <w:rPr>
          <w:rFonts w:hint="eastAsia" w:ascii="方正仿宋_GBK" w:hAnsi="方正仿宋_GBK" w:eastAsia="方正仿宋_GBK" w:cs="方正仿宋_GBK"/>
          <w:color w:val="auto"/>
          <w:sz w:val="32"/>
          <w:szCs w:val="32"/>
          <w:highlight w:val="none"/>
          <w:u w:val="none"/>
        </w:rPr>
        <w:t>责任保险统保工作；</w:t>
      </w:r>
      <w:r>
        <w:rPr>
          <w:rFonts w:hint="eastAsia" w:ascii="方正仿宋_GBK" w:hAnsi="方正仿宋_GBK" w:eastAsia="方正仿宋_GBK" w:cs="方正仿宋_GBK"/>
          <w:color w:val="auto"/>
          <w:sz w:val="32"/>
          <w:szCs w:val="32"/>
          <w:highlight w:val="none"/>
        </w:rPr>
        <w:t>通过财政拨款</w:t>
      </w:r>
      <w:r>
        <w:rPr>
          <w:rFonts w:hint="eastAsia" w:ascii="方正仿宋_GBK" w:hAnsi="方正仿宋_GBK" w:eastAsia="方正仿宋_GBK" w:cs="方正仿宋_GBK"/>
          <w:color w:val="auto"/>
          <w:sz w:val="32"/>
          <w:szCs w:val="32"/>
          <w:highlight w:val="none"/>
          <w:lang w:eastAsia="zh-CN"/>
        </w:rPr>
        <w:t>和</w:t>
      </w:r>
      <w:r>
        <w:rPr>
          <w:rFonts w:hint="eastAsia" w:ascii="方正仿宋_GBK" w:hAnsi="方正仿宋_GBK" w:eastAsia="方正仿宋_GBK" w:cs="方正仿宋_GBK"/>
          <w:color w:val="auto"/>
          <w:sz w:val="32"/>
          <w:szCs w:val="32"/>
          <w:highlight w:val="none"/>
        </w:rPr>
        <w:t>引入社会资本等方式深化公办养老机构改革，提升公办机构服务质量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积极探索民办养老机构建设，通过政策指导</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及时兑现优惠政策等措施，于2016年</w:t>
      </w:r>
      <w:r>
        <w:rPr>
          <w:rFonts w:hint="eastAsia" w:ascii="方正仿宋_GBK" w:hAnsi="方正仿宋_GBK" w:eastAsia="方正仿宋_GBK" w:cs="方正仿宋_GBK"/>
          <w:color w:val="auto"/>
          <w:sz w:val="32"/>
          <w:szCs w:val="32"/>
          <w:highlight w:val="none"/>
          <w:lang w:eastAsia="zh-CN"/>
        </w:rPr>
        <w:t>和</w:t>
      </w:r>
      <w:r>
        <w:rPr>
          <w:rFonts w:hint="eastAsia" w:ascii="方正仿宋_GBK" w:hAnsi="方正仿宋_GBK" w:eastAsia="方正仿宋_GBK" w:cs="方正仿宋_GBK"/>
          <w:color w:val="auto"/>
          <w:sz w:val="32"/>
          <w:szCs w:val="32"/>
          <w:highlight w:val="none"/>
          <w:lang w:val="en-US" w:eastAsia="zh-CN"/>
        </w:rPr>
        <w:t>2019年分别</w:t>
      </w:r>
      <w:r>
        <w:rPr>
          <w:rFonts w:hint="eastAsia" w:ascii="方正仿宋_GBK" w:hAnsi="方正仿宋_GBK" w:eastAsia="方正仿宋_GBK" w:cs="方正仿宋_GBK"/>
          <w:color w:val="auto"/>
          <w:sz w:val="32"/>
          <w:szCs w:val="32"/>
          <w:highlight w:val="none"/>
        </w:rPr>
        <w:t>引进社会资本1800多万元</w:t>
      </w:r>
      <w:r>
        <w:rPr>
          <w:rFonts w:hint="eastAsia" w:ascii="方正仿宋_GBK" w:hAnsi="方正仿宋_GBK" w:eastAsia="方正仿宋_GBK" w:cs="方正仿宋_GBK"/>
          <w:color w:val="auto"/>
          <w:sz w:val="32"/>
          <w:szCs w:val="32"/>
          <w:highlight w:val="none"/>
          <w:lang w:eastAsia="zh-CN"/>
        </w:rPr>
        <w:t>和</w:t>
      </w:r>
      <w:r>
        <w:rPr>
          <w:rFonts w:hint="eastAsia" w:ascii="方正仿宋_GBK" w:hAnsi="方正仿宋_GBK" w:eastAsia="方正仿宋_GBK" w:cs="方正仿宋_GBK"/>
          <w:color w:val="auto"/>
          <w:sz w:val="32"/>
          <w:szCs w:val="32"/>
          <w:highlight w:val="none"/>
          <w:lang w:val="en-US" w:eastAsia="zh-CN"/>
        </w:rPr>
        <w:t>8500多万元</w:t>
      </w:r>
      <w:r>
        <w:rPr>
          <w:rFonts w:hint="eastAsia" w:ascii="方正仿宋_GBK" w:hAnsi="方正仿宋_GBK" w:eastAsia="方正仿宋_GBK" w:cs="方正仿宋_GBK"/>
          <w:color w:val="auto"/>
          <w:sz w:val="32"/>
          <w:szCs w:val="32"/>
          <w:highlight w:val="none"/>
        </w:rPr>
        <w:t>，建成</w:t>
      </w:r>
      <w:r>
        <w:rPr>
          <w:rFonts w:hint="eastAsia" w:ascii="方正仿宋_GBK" w:hAnsi="方正仿宋_GBK" w:eastAsia="方正仿宋_GBK" w:cs="方正仿宋_GBK"/>
          <w:color w:val="auto"/>
          <w:sz w:val="32"/>
          <w:szCs w:val="32"/>
          <w:highlight w:val="none"/>
          <w:lang w:val="en-US" w:eastAsia="zh-CN"/>
        </w:rPr>
        <w:t>2家高端</w:t>
      </w:r>
      <w:r>
        <w:rPr>
          <w:rFonts w:hint="eastAsia" w:ascii="方正仿宋_GBK" w:hAnsi="方正仿宋_GBK" w:eastAsia="方正仿宋_GBK" w:cs="方正仿宋_GBK"/>
          <w:color w:val="auto"/>
          <w:sz w:val="32"/>
          <w:szCs w:val="32"/>
          <w:highlight w:val="none"/>
        </w:rPr>
        <w:t>民办养老机构</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有效增加我市高层次养老服务供给，提升我市机构养老服务整体水平。</w:t>
      </w:r>
      <w:r>
        <w:rPr>
          <w:rFonts w:hint="eastAsia" w:ascii="方正仿宋_GBK" w:hAnsi="方正仿宋_GBK" w:eastAsia="方正仿宋_GBK" w:cs="方正仿宋_GBK"/>
          <w:color w:val="auto"/>
          <w:sz w:val="32"/>
          <w:szCs w:val="32"/>
          <w:highlight w:val="none"/>
          <w:lang w:eastAsia="zh-CN"/>
        </w:rPr>
        <w:t>其中，</w:t>
      </w:r>
      <w:r>
        <w:rPr>
          <w:rFonts w:hint="eastAsia" w:ascii="方正仿宋_GBK" w:hAnsi="方正仿宋_GBK" w:eastAsia="方正仿宋_GBK" w:cs="方正仿宋_GBK"/>
          <w:color w:val="auto"/>
          <w:sz w:val="32"/>
          <w:szCs w:val="32"/>
          <w:highlight w:val="none"/>
        </w:rPr>
        <w:t>幸福寿星安老之家于2020年被评定为“广东省五星级</w:t>
      </w:r>
      <w:r>
        <w:rPr>
          <w:rFonts w:hint="eastAsia" w:ascii="方正仿宋_GBK" w:hAnsi="方正仿宋_GBK" w:eastAsia="方正仿宋_GBK" w:cs="方正仿宋_GBK"/>
          <w:color w:val="auto"/>
          <w:sz w:val="32"/>
          <w:szCs w:val="32"/>
          <w:highlight w:val="none"/>
          <w:lang w:eastAsia="zh-CN"/>
        </w:rPr>
        <w:t>示范</w:t>
      </w:r>
      <w:r>
        <w:rPr>
          <w:rFonts w:hint="eastAsia" w:ascii="方正仿宋_GBK" w:hAnsi="方正仿宋_GBK" w:eastAsia="方正仿宋_GBK" w:cs="方正仿宋_GBK"/>
          <w:color w:val="auto"/>
          <w:sz w:val="32"/>
          <w:szCs w:val="32"/>
          <w:highlight w:val="none"/>
        </w:rPr>
        <w:t>性养老机构”，成为江门市第一家获此殊荣的民办养老</w:t>
      </w:r>
      <w:r>
        <w:rPr>
          <w:rFonts w:hint="eastAsia" w:ascii="方正仿宋_GBK" w:hAnsi="方正仿宋_GBK" w:eastAsia="方正仿宋_GBK" w:cs="方正仿宋_GBK"/>
          <w:color w:val="auto"/>
          <w:sz w:val="32"/>
          <w:szCs w:val="32"/>
          <w:highlight w:val="none"/>
          <w:lang w:eastAsia="zh-CN"/>
        </w:rPr>
        <w:t>机构</w:t>
      </w:r>
      <w:r>
        <w:rPr>
          <w:rFonts w:hint="eastAsia" w:ascii="方正仿宋_GBK" w:hAnsi="方正仿宋_GBK" w:eastAsia="方正仿宋_GBK" w:cs="方正仿宋_GBK"/>
          <w:color w:val="auto"/>
          <w:sz w:val="32"/>
          <w:szCs w:val="32"/>
          <w:highlight w:val="none"/>
        </w:rPr>
        <w:t>。</w:t>
      </w:r>
    </w:p>
    <w:p>
      <w:pPr>
        <w:pageBreakBefore w:val="0"/>
        <w:kinsoku/>
        <w:wordWrap/>
        <w:overflowPunct/>
        <w:topLinePunct w:val="0"/>
        <w:autoSpaceDE/>
        <w:autoSpaceDN/>
        <w:bidi w:val="0"/>
        <w:snapToGrid w:val="0"/>
        <w:spacing w:line="560" w:lineRule="exact"/>
        <w:ind w:firstLine="640"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积极落实江门市提出的医养结合工作方案，制定《关于深入推进医养结合发展的实施方案》，大力发展以医疗机构为基础的医养结合新模式，同时鼓励现有养老机构与医疗机构签订合作协议，全面提升机构养老服务水平。</w:t>
      </w:r>
      <w:r>
        <w:rPr>
          <w:rFonts w:hint="eastAsia" w:ascii="方正仿宋_GBK" w:hAnsi="方正仿宋_GBK" w:eastAsia="方正仿宋_GBK" w:cs="方正仿宋_GBK"/>
          <w:color w:val="auto"/>
          <w:sz w:val="32"/>
          <w:szCs w:val="32"/>
          <w:highlight w:val="none"/>
          <w:lang w:eastAsia="zh-CN"/>
        </w:rPr>
        <w:t>十三五期间，</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lang w:eastAsia="zh-CN"/>
        </w:rPr>
        <w:t>家医养结合机构采取在公立医院建立养老中心或在养老中心设立医疗机构的模式开展医养结合工作，</w:t>
      </w:r>
      <w:r>
        <w:rPr>
          <w:rFonts w:hint="eastAsia" w:ascii="方正仿宋_GBK" w:hAnsi="方正仿宋_GBK" w:eastAsia="方正仿宋_GBK" w:cs="方正仿宋_GBK"/>
          <w:color w:val="auto"/>
          <w:sz w:val="32"/>
          <w:szCs w:val="32"/>
          <w:highlight w:val="none"/>
        </w:rPr>
        <w:t>基本满足全市老年人</w:t>
      </w:r>
      <w:r>
        <w:rPr>
          <w:rFonts w:hint="eastAsia" w:ascii="方正仿宋_GBK" w:hAnsi="方正仿宋_GBK" w:eastAsia="方正仿宋_GBK" w:cs="方正仿宋_GBK"/>
          <w:color w:val="auto"/>
          <w:sz w:val="32"/>
          <w:szCs w:val="32"/>
          <w:highlight w:val="none"/>
          <w:lang w:eastAsia="zh-CN"/>
        </w:rPr>
        <w:t>医养结合</w:t>
      </w:r>
      <w:r>
        <w:rPr>
          <w:rFonts w:hint="eastAsia" w:ascii="方正仿宋_GBK" w:hAnsi="方正仿宋_GBK" w:eastAsia="方正仿宋_GBK" w:cs="方正仿宋_GBK"/>
          <w:color w:val="auto"/>
          <w:sz w:val="32"/>
          <w:szCs w:val="32"/>
          <w:highlight w:val="none"/>
        </w:rPr>
        <w:t>服务的需要。全市14家养老机构，均通过内设医疗机构、与周边医疗机构签订合作协议等模式，实现医养结合100%全覆盖，养老服务水平再上</w:t>
      </w:r>
      <w:r>
        <w:rPr>
          <w:rFonts w:hint="eastAsia" w:ascii="方正仿宋_GBK" w:hAnsi="方正仿宋_GBK" w:eastAsia="方正仿宋_GBK" w:cs="方正仿宋_GBK"/>
          <w:color w:val="auto"/>
          <w:sz w:val="32"/>
          <w:szCs w:val="32"/>
          <w:highlight w:val="none"/>
          <w:lang w:eastAsia="zh-CN"/>
        </w:rPr>
        <w:t>新</w:t>
      </w:r>
      <w:r>
        <w:rPr>
          <w:rFonts w:hint="eastAsia" w:ascii="方正仿宋_GBK" w:hAnsi="方正仿宋_GBK" w:eastAsia="方正仿宋_GBK" w:cs="方正仿宋_GBK"/>
          <w:color w:val="auto"/>
          <w:sz w:val="32"/>
          <w:szCs w:val="32"/>
          <w:highlight w:val="none"/>
        </w:rPr>
        <w:t>台阶。</w:t>
      </w:r>
    </w:p>
    <w:tbl>
      <w:tblPr>
        <w:tblStyle w:val="19"/>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8"/>
        <w:gridCol w:w="1694"/>
        <w:gridCol w:w="991"/>
        <w:gridCol w:w="1457"/>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40" w:type="dxa"/>
            <w:gridSpan w:val="5"/>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eastAsia="zh-CN"/>
              </w:rPr>
              <w:t>专栏</w:t>
            </w:r>
            <w:r>
              <w:rPr>
                <w:rFonts w:hint="eastAsia" w:ascii="方正仿宋_GBK" w:hAnsi="方正仿宋_GBK" w:eastAsia="方正仿宋_GBK" w:cs="方正仿宋_GBK"/>
                <w:b/>
                <w:bCs/>
                <w:color w:val="auto"/>
                <w:sz w:val="28"/>
                <w:szCs w:val="28"/>
                <w:highlight w:val="none"/>
                <w:lang w:val="en-US" w:eastAsia="zh-CN"/>
              </w:rPr>
              <w:t>1：“十三五”期间</w:t>
            </w:r>
            <w:r>
              <w:rPr>
                <w:rFonts w:hint="eastAsia" w:ascii="方正仿宋_GBK" w:hAnsi="方正仿宋_GBK" w:eastAsia="方正仿宋_GBK" w:cs="方正仿宋_GBK"/>
                <w:b/>
                <w:bCs/>
                <w:color w:val="auto"/>
                <w:sz w:val="28"/>
                <w:szCs w:val="28"/>
                <w:highlight w:val="none"/>
                <w:lang w:eastAsia="zh-CN"/>
              </w:rPr>
              <w:t>鹤山</w:t>
            </w:r>
            <w:r>
              <w:rPr>
                <w:rFonts w:hint="eastAsia" w:ascii="方正仿宋_GBK" w:hAnsi="方正仿宋_GBK" w:eastAsia="方正仿宋_GBK" w:cs="方正仿宋_GBK"/>
                <w:b/>
                <w:bCs/>
                <w:color w:val="auto"/>
                <w:sz w:val="28"/>
                <w:szCs w:val="28"/>
                <w:highlight w:val="none"/>
              </w:rPr>
              <w:t>市养老机构</w:t>
            </w:r>
            <w:r>
              <w:rPr>
                <w:rFonts w:hint="eastAsia" w:ascii="方正仿宋_GBK" w:hAnsi="方正仿宋_GBK" w:eastAsia="方正仿宋_GBK" w:cs="方正仿宋_GBK"/>
                <w:b/>
                <w:bCs/>
                <w:color w:val="auto"/>
                <w:sz w:val="28"/>
                <w:szCs w:val="28"/>
                <w:highlight w:val="none"/>
                <w:lang w:eastAsia="zh-CN"/>
              </w:rPr>
              <w:t>发展现状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机构名称</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机构性质</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床位数</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护理型床位</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rPr>
              <w:t>入住率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鹤山市社会福利院</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公办</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150</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72</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龙口镇敬老院</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公建民营</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75</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30</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lang w:val="en-US" w:eastAsia="zh-CN"/>
              </w:rPr>
              <w:t>82.67%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雅瑶镇敬老院</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公建民营</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200</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75</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lang w:val="en-US" w:eastAsia="zh-CN"/>
              </w:rPr>
              <w:t>75.50%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沙坪</w:t>
            </w:r>
            <w:r>
              <w:rPr>
                <w:rFonts w:hint="eastAsia" w:ascii="方正仿宋_GBK" w:hAnsi="方正仿宋_GBK" w:eastAsia="方正仿宋_GBK" w:cs="方正仿宋_GBK"/>
                <w:color w:val="auto"/>
                <w:sz w:val="28"/>
                <w:szCs w:val="28"/>
                <w:highlight w:val="none"/>
                <w:lang w:eastAsia="zh-CN"/>
              </w:rPr>
              <w:t>街道</w:t>
            </w:r>
            <w:r>
              <w:rPr>
                <w:rFonts w:hint="eastAsia" w:ascii="方正仿宋_GBK" w:hAnsi="方正仿宋_GBK" w:eastAsia="方正仿宋_GBK" w:cs="方正仿宋_GBK"/>
                <w:color w:val="auto"/>
                <w:sz w:val="28"/>
                <w:szCs w:val="28"/>
                <w:highlight w:val="none"/>
              </w:rPr>
              <w:t>敬老院</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公建民营</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108</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30</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lang w:val="en-US" w:eastAsia="zh-CN"/>
              </w:rPr>
              <w:t>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鹤城镇敬老院</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公建民营</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104</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40</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lang w:val="en-US" w:eastAsia="zh-CN"/>
              </w:rPr>
              <w:t>45.19%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古劳镇敬老院（慈善安老院）</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公建民营</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88</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lang w:val="en-US" w:eastAsia="zh-CN"/>
              </w:rPr>
              <w:t>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桃源</w:t>
            </w:r>
            <w:r>
              <w:rPr>
                <w:rFonts w:hint="eastAsia" w:ascii="方正仿宋_GBK" w:hAnsi="方正仿宋_GBK" w:eastAsia="方正仿宋_GBK" w:cs="方正仿宋_GBK"/>
                <w:color w:val="auto"/>
                <w:sz w:val="28"/>
                <w:szCs w:val="28"/>
                <w:highlight w:val="none"/>
                <w:lang w:eastAsia="zh-CN"/>
              </w:rPr>
              <w:t>镇</w:t>
            </w:r>
            <w:r>
              <w:rPr>
                <w:rFonts w:hint="eastAsia" w:ascii="方正仿宋_GBK" w:hAnsi="方正仿宋_GBK" w:eastAsia="方正仿宋_GBK" w:cs="方正仿宋_GBK"/>
                <w:color w:val="auto"/>
                <w:sz w:val="28"/>
                <w:szCs w:val="28"/>
                <w:highlight w:val="none"/>
              </w:rPr>
              <w:t>敬老院</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公办</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44</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2</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lang w:val="en-US" w:eastAsia="zh-CN"/>
              </w:rPr>
              <w:t>36.36%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址山镇敬老院</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公办</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33</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0</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lang w:val="en-US" w:eastAsia="zh-CN"/>
              </w:rPr>
              <w:t>39.39%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双合镇</w:t>
            </w:r>
            <w:r>
              <w:rPr>
                <w:rFonts w:hint="eastAsia" w:ascii="方正仿宋_GBK" w:hAnsi="方正仿宋_GBK" w:eastAsia="方正仿宋_GBK" w:cs="方正仿宋_GBK"/>
                <w:color w:val="auto"/>
                <w:sz w:val="28"/>
                <w:szCs w:val="28"/>
                <w:highlight w:val="none"/>
                <w:lang w:eastAsia="zh-CN"/>
              </w:rPr>
              <w:t>敬老院</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公办</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27</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0</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lang w:val="en-US" w:eastAsia="zh-CN"/>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共和镇敬老院</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公办</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80</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30</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lang w:val="en-US" w:eastAsia="zh-CN"/>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宅梧镇敬老院</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公办</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30</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0</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lang w:val="en-US" w:eastAsia="zh-CN"/>
              </w:rPr>
              <w:t>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沙坪街道卫生院养老服务中心</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公办</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200</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200</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雁鸣湖畔养老养生公寓</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民办</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288</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288</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sz w:val="28"/>
                <w:szCs w:val="28"/>
                <w:highlight w:val="none"/>
                <w:u w:val="none"/>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098"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幸福寿星安老之家</w:t>
            </w:r>
          </w:p>
        </w:tc>
        <w:tc>
          <w:tcPr>
            <w:tcW w:w="1694"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民办</w:t>
            </w:r>
          </w:p>
        </w:tc>
        <w:tc>
          <w:tcPr>
            <w:tcW w:w="99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309</w:t>
            </w:r>
          </w:p>
        </w:tc>
        <w:tc>
          <w:tcPr>
            <w:tcW w:w="145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100</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val="en-US" w:eastAsia="zh-CN"/>
              </w:rPr>
              <w:t>70.55%</w:t>
            </w:r>
          </w:p>
        </w:tc>
      </w:tr>
    </w:tbl>
    <w:p>
      <w:pPr>
        <w:pStyle w:val="6"/>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textAlignment w:val="auto"/>
        <w:rPr>
          <w:rFonts w:hint="eastAsia" w:ascii="方正仿宋_GBK" w:hAnsi="方正仿宋_GBK" w:eastAsia="方正仿宋_GBK" w:cs="方正仿宋_GBK"/>
          <w:b w:val="0"/>
          <w:bCs w:val="0"/>
          <w:strike w:val="0"/>
          <w:dstrike w:val="0"/>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lang w:val="en-US" w:eastAsia="zh-CN"/>
        </w:rPr>
        <w:t>3.加强安全管理。</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十三五期间，全市12家养老服务机构依法取得食品经营许可证，接入“互联网+明厨亮灶”平台。所有养老机构食堂均建立健全食品安全管理制度，配备专职食品安全管理人员，严格执行从业人员健康管理制度，所有从业人员取得健康证明后上岗，并定期参加食品安全培训考核。实施养老机构消防安全达标工程，以机构自查、部门联合检查、第三方消防技术服务机构评估为抓手，全面摸清养老服务机构的消防安全状况，建立安全问题和责任清单，开展消防安全标准化管理建设。</w:t>
      </w:r>
    </w:p>
    <w:p>
      <w:pPr>
        <w:pStyle w:val="2"/>
        <w:ind w:left="0" w:leftChars="0" w:firstLine="0" w:firstLineChars="0"/>
        <w:rPr>
          <w:rFonts w:hint="eastAsia" w:ascii="方正仿宋_GBK" w:hAnsi="方正仿宋_GBK" w:eastAsia="方正仿宋_GBK" w:cs="方正仿宋_GBK"/>
          <w:color w:val="auto"/>
          <w:sz w:val="32"/>
          <w:szCs w:val="32"/>
          <w:highlight w:val="none"/>
        </w:rPr>
      </w:pPr>
    </w:p>
    <w:p>
      <w:pPr>
        <w:pStyle w:val="6"/>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夯实居家社区养老服务基础</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完善居家社区养老服务网络，推进居家养老服务建设。</w:t>
      </w:r>
      <w:r>
        <w:rPr>
          <w:rFonts w:hint="eastAsia" w:ascii="方正仿宋_GBK" w:hAnsi="方正仿宋_GBK" w:eastAsia="方正仿宋_GBK" w:cs="方正仿宋_GBK"/>
          <w:b w:val="0"/>
          <w:bCs w:val="0"/>
          <w:color w:val="auto"/>
          <w:sz w:val="32"/>
          <w:szCs w:val="32"/>
          <w:highlight w:val="none"/>
          <w:lang w:eastAsia="zh-CN"/>
        </w:rPr>
        <w:t>十三五期间</w:t>
      </w:r>
      <w:r>
        <w:rPr>
          <w:rFonts w:hint="eastAsia" w:ascii="方正仿宋_GBK" w:hAnsi="方正仿宋_GBK" w:eastAsia="方正仿宋_GBK" w:cs="方正仿宋_GBK"/>
          <w:b w:val="0"/>
          <w:bCs w:val="0"/>
          <w:color w:val="auto"/>
          <w:sz w:val="32"/>
          <w:szCs w:val="32"/>
          <w:highlight w:val="none"/>
        </w:rPr>
        <w:t>，通过点面结合，整合资源，推进居家养老服务站点</w:t>
      </w:r>
      <w:r>
        <w:rPr>
          <w:rFonts w:hint="eastAsia" w:ascii="方正仿宋_GBK" w:hAnsi="方正仿宋_GBK" w:eastAsia="方正仿宋_GBK" w:cs="方正仿宋_GBK"/>
          <w:b w:val="0"/>
          <w:bCs w:val="0"/>
          <w:color w:val="auto"/>
          <w:sz w:val="32"/>
          <w:szCs w:val="32"/>
          <w:highlight w:val="none"/>
          <w:lang w:eastAsia="zh-CN"/>
        </w:rPr>
        <w:t>建设，</w:t>
      </w:r>
      <w:r>
        <w:rPr>
          <w:rFonts w:hint="eastAsia" w:ascii="方正仿宋_GBK" w:hAnsi="方正仿宋_GBK" w:eastAsia="方正仿宋_GBK" w:cs="方正仿宋_GBK"/>
          <w:b w:val="0"/>
          <w:bCs w:val="0"/>
          <w:color w:val="auto"/>
          <w:sz w:val="32"/>
          <w:szCs w:val="32"/>
          <w:highlight w:val="none"/>
        </w:rPr>
        <w:t>建有</w:t>
      </w:r>
      <w:r>
        <w:rPr>
          <w:rFonts w:hint="eastAsia" w:ascii="方正仿宋_GBK" w:hAnsi="方正仿宋_GBK" w:eastAsia="方正仿宋_GBK" w:cs="方正仿宋_GBK"/>
          <w:b w:val="0"/>
          <w:bCs w:val="0"/>
          <w:color w:val="auto"/>
          <w:sz w:val="32"/>
          <w:szCs w:val="32"/>
          <w:highlight w:val="none"/>
          <w:lang w:eastAsia="zh-CN"/>
        </w:rPr>
        <w:t>57间</w:t>
      </w:r>
      <w:r>
        <w:rPr>
          <w:rFonts w:hint="eastAsia" w:ascii="方正仿宋_GBK" w:hAnsi="方正仿宋_GBK" w:eastAsia="方正仿宋_GBK" w:cs="方正仿宋_GBK"/>
          <w:b w:val="0"/>
          <w:bCs w:val="0"/>
          <w:color w:val="auto"/>
          <w:sz w:val="32"/>
          <w:szCs w:val="32"/>
          <w:highlight w:val="none"/>
        </w:rPr>
        <w:t>居家社区养老服务机构，覆盖</w:t>
      </w:r>
      <w:r>
        <w:rPr>
          <w:rFonts w:hint="eastAsia" w:ascii="方正仿宋_GBK" w:hAnsi="方正仿宋_GBK" w:eastAsia="方正仿宋_GBK" w:cs="方正仿宋_GBK"/>
          <w:b w:val="0"/>
          <w:bCs w:val="0"/>
          <w:color w:val="auto"/>
          <w:sz w:val="32"/>
          <w:szCs w:val="32"/>
          <w:highlight w:val="none"/>
          <w:lang w:eastAsia="zh-CN"/>
        </w:rPr>
        <w:t>各</w:t>
      </w:r>
      <w:r>
        <w:rPr>
          <w:rFonts w:hint="eastAsia" w:ascii="方正仿宋_GBK" w:hAnsi="方正仿宋_GBK" w:eastAsia="方正仿宋_GBK" w:cs="方正仿宋_GBK"/>
          <w:b w:val="0"/>
          <w:bCs w:val="0"/>
          <w:color w:val="auto"/>
          <w:sz w:val="32"/>
          <w:szCs w:val="32"/>
          <w:highlight w:val="none"/>
        </w:rPr>
        <w:t>镇</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街</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w:t>
      </w:r>
    </w:p>
    <w:p>
      <w:pPr>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此外，以居家社区养老服务设施建设为抓手，</w:t>
      </w:r>
      <w:r>
        <w:rPr>
          <w:rFonts w:hint="eastAsia" w:ascii="方正仿宋_GBK" w:hAnsi="方正仿宋_GBK" w:eastAsia="方正仿宋_GBK" w:cs="方正仿宋_GBK"/>
          <w:color w:val="auto"/>
          <w:sz w:val="32"/>
          <w:szCs w:val="32"/>
          <w:highlight w:val="none"/>
        </w:rPr>
        <w:t>全力打造</w:t>
      </w:r>
      <w:r>
        <w:rPr>
          <w:rFonts w:hint="eastAsia" w:ascii="方正仿宋_GBK" w:hAnsi="方正仿宋_GBK" w:eastAsia="方正仿宋_GBK" w:cs="方正仿宋_GBK"/>
          <w:color w:val="auto"/>
          <w:sz w:val="32"/>
          <w:szCs w:val="32"/>
          <w:highlight w:val="none"/>
          <w:lang w:eastAsia="zh-CN"/>
        </w:rPr>
        <w:t>居家养老助残服务</w:t>
      </w:r>
      <w:r>
        <w:rPr>
          <w:rFonts w:hint="eastAsia" w:ascii="方正仿宋_GBK" w:hAnsi="方正仿宋_GBK" w:eastAsia="方正仿宋_GBK" w:cs="方正仿宋_GBK"/>
          <w:color w:val="auto"/>
          <w:sz w:val="32"/>
          <w:szCs w:val="32"/>
          <w:highlight w:val="none"/>
        </w:rPr>
        <w:t>“平安通”</w:t>
      </w:r>
      <w:r>
        <w:rPr>
          <w:rFonts w:hint="eastAsia" w:ascii="方正仿宋_GBK" w:hAnsi="方正仿宋_GBK" w:eastAsia="方正仿宋_GBK" w:cs="方正仿宋_GBK"/>
          <w:color w:val="auto"/>
          <w:sz w:val="32"/>
          <w:szCs w:val="32"/>
          <w:highlight w:val="none"/>
          <w:lang w:eastAsia="zh-CN"/>
        </w:rPr>
        <w:t>项目</w:t>
      </w:r>
      <w:r>
        <w:rPr>
          <w:rFonts w:hint="eastAsia" w:ascii="方正仿宋_GBK" w:hAnsi="方正仿宋_GBK" w:eastAsia="方正仿宋_GBK" w:cs="方正仿宋_GBK"/>
          <w:color w:val="auto"/>
          <w:sz w:val="32"/>
          <w:szCs w:val="32"/>
          <w:highlight w:val="none"/>
        </w:rPr>
        <w:t>、“鹤友”</w:t>
      </w:r>
      <w:r>
        <w:rPr>
          <w:rFonts w:hint="eastAsia" w:ascii="方正仿宋_GBK" w:hAnsi="方正仿宋_GBK" w:eastAsia="方正仿宋_GBK" w:cs="方正仿宋_GBK"/>
          <w:color w:val="auto"/>
          <w:sz w:val="32"/>
          <w:szCs w:val="32"/>
          <w:highlight w:val="none"/>
          <w:lang w:eastAsia="zh-CN"/>
        </w:rPr>
        <w:t>长者食堂</w:t>
      </w:r>
      <w:r>
        <w:rPr>
          <w:rFonts w:hint="eastAsia" w:ascii="方正仿宋_GBK" w:hAnsi="方正仿宋_GBK" w:eastAsia="方正仿宋_GBK" w:cs="方正仿宋_GBK"/>
          <w:color w:val="auto"/>
          <w:sz w:val="32"/>
          <w:szCs w:val="32"/>
          <w:highlight w:val="none"/>
        </w:rPr>
        <w:t>“大助餐”项目</w:t>
      </w:r>
      <w:r>
        <w:rPr>
          <w:rFonts w:hint="eastAsia" w:ascii="方正仿宋_GBK" w:hAnsi="方正仿宋_GBK" w:eastAsia="方正仿宋_GBK" w:cs="方正仿宋_GBK"/>
          <w:color w:val="auto"/>
          <w:sz w:val="32"/>
          <w:szCs w:val="32"/>
          <w:highlight w:val="none"/>
          <w:lang w:eastAsia="zh-CN"/>
        </w:rPr>
        <w:t>、老年人能力评估项目</w:t>
      </w:r>
      <w:r>
        <w:rPr>
          <w:rFonts w:hint="eastAsia" w:ascii="方正仿宋_GBK" w:hAnsi="方正仿宋_GBK" w:eastAsia="方正仿宋_GBK" w:cs="方正仿宋_GBK"/>
          <w:color w:val="auto"/>
          <w:sz w:val="32"/>
          <w:szCs w:val="32"/>
          <w:highlight w:val="none"/>
        </w:rPr>
        <w:t>等</w:t>
      </w:r>
      <w:r>
        <w:rPr>
          <w:rFonts w:hint="eastAsia" w:ascii="方正仿宋_GBK" w:hAnsi="方正仿宋_GBK" w:eastAsia="方正仿宋_GBK" w:cs="方正仿宋_GBK"/>
          <w:color w:val="auto"/>
          <w:sz w:val="32"/>
          <w:szCs w:val="32"/>
          <w:highlight w:val="none"/>
          <w:lang w:eastAsia="zh-CN"/>
        </w:rPr>
        <w:t>居家养老服务设施建设</w:t>
      </w:r>
      <w:r>
        <w:rPr>
          <w:rFonts w:hint="eastAsia" w:ascii="方正仿宋_GBK" w:hAnsi="方正仿宋_GBK" w:eastAsia="方正仿宋_GBK" w:cs="方正仿宋_GBK"/>
          <w:color w:val="auto"/>
          <w:sz w:val="32"/>
          <w:szCs w:val="32"/>
          <w:highlight w:val="none"/>
        </w:rPr>
        <w:t>，不断完善我市</w:t>
      </w:r>
      <w:r>
        <w:rPr>
          <w:rFonts w:hint="eastAsia" w:ascii="方正仿宋_GBK" w:hAnsi="方正仿宋_GBK" w:eastAsia="方正仿宋_GBK" w:cs="方正仿宋_GBK"/>
          <w:color w:val="auto"/>
          <w:sz w:val="32"/>
          <w:szCs w:val="32"/>
          <w:highlight w:val="none"/>
          <w:lang w:eastAsia="zh-CN"/>
        </w:rPr>
        <w:t>居家</w:t>
      </w:r>
      <w:r>
        <w:rPr>
          <w:rFonts w:hint="eastAsia" w:ascii="方正仿宋_GBK" w:hAnsi="方正仿宋_GBK" w:eastAsia="方正仿宋_GBK" w:cs="方正仿宋_GBK"/>
          <w:color w:val="auto"/>
          <w:sz w:val="32"/>
          <w:szCs w:val="32"/>
          <w:highlight w:val="none"/>
        </w:rPr>
        <w:t>养老体系建设，满足老年人在家门口养老</w:t>
      </w:r>
      <w:r>
        <w:rPr>
          <w:rFonts w:hint="eastAsia" w:ascii="方正仿宋_GBK" w:hAnsi="方正仿宋_GBK" w:eastAsia="方正仿宋_GBK" w:cs="方正仿宋_GBK"/>
          <w:color w:val="auto"/>
          <w:sz w:val="32"/>
          <w:szCs w:val="32"/>
          <w:highlight w:val="none"/>
          <w:lang w:eastAsia="zh-CN"/>
        </w:rPr>
        <w:t>的</w:t>
      </w:r>
      <w:r>
        <w:rPr>
          <w:rFonts w:hint="eastAsia" w:ascii="方正仿宋_GBK" w:hAnsi="方正仿宋_GBK" w:eastAsia="方正仿宋_GBK" w:cs="方正仿宋_GBK"/>
          <w:color w:val="auto"/>
          <w:sz w:val="32"/>
          <w:szCs w:val="32"/>
          <w:highlight w:val="none"/>
        </w:rPr>
        <w:t>需求。</w:t>
      </w:r>
    </w:p>
    <w:tbl>
      <w:tblPr>
        <w:tblStyle w:val="19"/>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3053"/>
        <w:gridCol w:w="3825"/>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6" w:type="dxa"/>
            <w:gridSpan w:val="4"/>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b/>
                <w:bCs/>
                <w:color w:val="auto"/>
                <w:kern w:val="2"/>
                <w:sz w:val="28"/>
                <w:szCs w:val="28"/>
                <w:highlight w:val="none"/>
                <w:lang w:val="en-US" w:eastAsia="zh-CN" w:bidi="ar-SA"/>
              </w:rPr>
              <w:t>专栏2：“十三五”期间鹤山市居家社区养老服务项目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项目名称</w:t>
            </w:r>
          </w:p>
        </w:tc>
        <w:tc>
          <w:tcPr>
            <w:tcW w:w="31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项目内容</w:t>
            </w:r>
          </w:p>
        </w:tc>
        <w:tc>
          <w:tcPr>
            <w:tcW w:w="387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项目成效</w:t>
            </w:r>
          </w:p>
        </w:tc>
        <w:tc>
          <w:tcPr>
            <w:tcW w:w="95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覆盖镇（街）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sz w:val="28"/>
                <w:szCs w:val="28"/>
                <w:highlight w:val="none"/>
                <w:vertAlign w:val="baseline"/>
              </w:rPr>
            </w:pPr>
            <w:r>
              <w:rPr>
                <w:rFonts w:hint="eastAsia" w:ascii="方正仿宋_GBK" w:hAnsi="方正仿宋_GBK" w:eastAsia="方正仿宋_GBK" w:cs="方正仿宋_GBK"/>
                <w:color w:val="auto"/>
                <w:sz w:val="28"/>
                <w:szCs w:val="28"/>
                <w:highlight w:val="none"/>
                <w:lang w:eastAsia="zh-CN"/>
              </w:rPr>
              <w:t>居家养老助残服务</w:t>
            </w:r>
            <w:r>
              <w:rPr>
                <w:rFonts w:hint="eastAsia" w:ascii="方正仿宋_GBK" w:hAnsi="方正仿宋_GBK" w:eastAsia="方正仿宋_GBK" w:cs="方正仿宋_GBK"/>
                <w:color w:val="auto"/>
                <w:sz w:val="28"/>
                <w:szCs w:val="28"/>
                <w:highlight w:val="none"/>
              </w:rPr>
              <w:t>“平安通”</w:t>
            </w:r>
            <w:r>
              <w:rPr>
                <w:rFonts w:hint="eastAsia" w:ascii="方正仿宋_GBK" w:hAnsi="方正仿宋_GBK" w:eastAsia="方正仿宋_GBK" w:cs="方正仿宋_GBK"/>
                <w:color w:val="auto"/>
                <w:sz w:val="28"/>
                <w:szCs w:val="28"/>
                <w:highlight w:val="none"/>
                <w:lang w:eastAsia="zh-CN"/>
              </w:rPr>
              <w:t>项目</w:t>
            </w:r>
          </w:p>
        </w:tc>
        <w:tc>
          <w:tcPr>
            <w:tcW w:w="31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baseline"/>
              <w:rPr>
                <w:rFonts w:hint="eastAsia" w:ascii="方正仿宋_GBK" w:hAnsi="方正仿宋_GBK" w:eastAsia="方正仿宋_GBK" w:cs="方正仿宋_GBK"/>
                <w:color w:val="auto"/>
                <w:sz w:val="28"/>
                <w:szCs w:val="28"/>
                <w:highlight w:val="none"/>
                <w:vertAlign w:val="baseline"/>
              </w:rPr>
            </w:pPr>
            <w:r>
              <w:rPr>
                <w:rFonts w:hint="eastAsia" w:ascii="方正仿宋_GBK" w:hAnsi="方正仿宋_GBK" w:eastAsia="方正仿宋_GBK" w:cs="方正仿宋_GBK"/>
                <w:color w:val="auto"/>
                <w:sz w:val="28"/>
                <w:szCs w:val="28"/>
                <w:highlight w:val="none"/>
                <w:lang w:eastAsia="zh-CN"/>
              </w:rPr>
              <w:t>项目通过整合政府和社会资源，建立居家养老助残服务</w:t>
            </w:r>
            <w:r>
              <w:rPr>
                <w:rFonts w:hint="eastAsia" w:ascii="方正仿宋_GBK" w:hAnsi="方正仿宋_GBK" w:eastAsia="方正仿宋_GBK" w:cs="方正仿宋_GBK"/>
                <w:color w:val="auto"/>
                <w:sz w:val="28"/>
                <w:szCs w:val="28"/>
                <w:highlight w:val="none"/>
              </w:rPr>
              <w:t>“平安通”</w:t>
            </w:r>
            <w:r>
              <w:rPr>
                <w:rFonts w:hint="eastAsia" w:ascii="方正仿宋_GBK" w:hAnsi="方正仿宋_GBK" w:eastAsia="方正仿宋_GBK" w:cs="方正仿宋_GBK"/>
                <w:color w:val="auto"/>
                <w:sz w:val="28"/>
                <w:szCs w:val="28"/>
                <w:highlight w:val="none"/>
                <w:lang w:eastAsia="zh-CN"/>
              </w:rPr>
              <w:t>服务平台，为老年人、残疾人提供全天候紧急支援、医疗急救、主动关怀、情绪支援、政策咨询、信息查询、资源链接与转介等服务。</w:t>
            </w: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方正仿宋_GBK" w:hAnsi="方正仿宋_GBK" w:eastAsia="方正仿宋_GBK" w:cs="方正仿宋_GBK"/>
                <w:color w:val="auto"/>
                <w:sz w:val="28"/>
                <w:szCs w:val="28"/>
                <w:highlight w:val="none"/>
                <w:vertAlign w:val="baseline"/>
                <w:lang w:val="en-US"/>
              </w:rPr>
            </w:pPr>
            <w:r>
              <w:rPr>
                <w:rFonts w:hint="eastAsia" w:ascii="方正仿宋_GBK" w:hAnsi="方正仿宋_GBK" w:eastAsia="方正仿宋_GBK" w:cs="方正仿宋_GBK"/>
                <w:color w:val="auto"/>
                <w:kern w:val="2"/>
                <w:sz w:val="28"/>
                <w:szCs w:val="28"/>
                <w:highlight w:val="none"/>
                <w:u w:val="none"/>
                <w:lang w:val="en-US" w:eastAsia="zh-CN" w:bidi="ar-SA"/>
              </w:rPr>
              <w:t>截至2020年12月底，我市平安通累计服务1089人，提供紧急呼唤服务4宗，心理情绪疏导185人次，咨询转介服务121人次，主动关爱服务约679人次，及时帮助老人化解困境。</w:t>
            </w:r>
          </w:p>
        </w:tc>
        <w:tc>
          <w:tcPr>
            <w:tcW w:w="95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沙坪街道、古劳镇、桃源镇、龙口镇和全市分散特困供养人员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sz w:val="28"/>
                <w:szCs w:val="28"/>
                <w:highlight w:val="none"/>
                <w:vertAlign w:val="baseline"/>
              </w:rPr>
            </w:pPr>
            <w:r>
              <w:rPr>
                <w:rFonts w:hint="eastAsia" w:ascii="方正仿宋_GBK" w:hAnsi="方正仿宋_GBK" w:eastAsia="方正仿宋_GBK" w:cs="方正仿宋_GBK"/>
                <w:color w:val="auto"/>
                <w:sz w:val="28"/>
                <w:szCs w:val="28"/>
                <w:highlight w:val="none"/>
                <w:lang w:eastAsia="zh-CN"/>
              </w:rPr>
              <w:t>“鹤友”长者食堂</w:t>
            </w:r>
            <w:r>
              <w:rPr>
                <w:rFonts w:hint="eastAsia" w:ascii="方正仿宋_GBK" w:hAnsi="方正仿宋_GBK" w:eastAsia="方正仿宋_GBK" w:cs="方正仿宋_GBK"/>
                <w:color w:val="auto"/>
                <w:sz w:val="28"/>
                <w:szCs w:val="28"/>
                <w:highlight w:val="none"/>
              </w:rPr>
              <w:t>“大助餐”项目</w:t>
            </w:r>
          </w:p>
        </w:tc>
        <w:tc>
          <w:tcPr>
            <w:tcW w:w="3105"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baseline"/>
              <w:rPr>
                <w:rFonts w:hint="eastAsia" w:ascii="方正仿宋_GBK" w:hAnsi="方正仿宋_GBK" w:eastAsia="方正仿宋_GBK" w:cs="方正仿宋_GBK"/>
                <w:color w:val="auto"/>
                <w:sz w:val="28"/>
                <w:szCs w:val="28"/>
                <w:highlight w:val="none"/>
                <w:vertAlign w:val="baseline"/>
                <w:lang w:eastAsia="zh-CN"/>
              </w:rPr>
            </w:pPr>
            <w:r>
              <w:rPr>
                <w:rFonts w:hint="eastAsia" w:ascii="方正仿宋_GBK" w:hAnsi="方正仿宋_GBK" w:eastAsia="方正仿宋_GBK" w:cs="方正仿宋_GBK"/>
                <w:color w:val="auto"/>
                <w:kern w:val="2"/>
                <w:sz w:val="28"/>
                <w:szCs w:val="28"/>
                <w:highlight w:val="none"/>
                <w:lang w:val="en-US" w:eastAsia="zh-CN" w:bidi="ar-SA"/>
              </w:rPr>
              <w:t>为推进我市居家养老服务发展，我市以解决居家长者用餐需求为切入点，以“政府搭台、慈善组织资助、社区积极参与、机构运营”的模式推进长者食堂建设，为长者提供用餐服务，满足老年人多层次多元化养老服务需求。</w:t>
            </w:r>
          </w:p>
        </w:tc>
        <w:tc>
          <w:tcPr>
            <w:tcW w:w="387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baseline"/>
              <w:rPr>
                <w:rFonts w:hint="eastAsia" w:ascii="方正仿宋_GBK" w:hAnsi="方正仿宋_GBK" w:eastAsia="方正仿宋_GBK" w:cs="方正仿宋_GBK"/>
                <w:color w:val="auto"/>
                <w:kern w:val="2"/>
                <w:sz w:val="28"/>
                <w:szCs w:val="28"/>
                <w:highlight w:val="none"/>
                <w:u w:val="none"/>
                <w:lang w:val="en-US" w:eastAsia="zh-CN" w:bidi="ar-SA"/>
              </w:rPr>
            </w:pPr>
            <w:r>
              <w:rPr>
                <w:rFonts w:hint="eastAsia" w:ascii="方正仿宋_GBK" w:hAnsi="方正仿宋_GBK" w:eastAsia="方正仿宋_GBK" w:cs="方正仿宋_GBK"/>
                <w:color w:val="auto"/>
                <w:kern w:val="2"/>
                <w:sz w:val="28"/>
                <w:szCs w:val="28"/>
                <w:highlight w:val="none"/>
                <w:u w:val="none"/>
                <w:lang w:val="en-US" w:eastAsia="zh-CN" w:bidi="ar-SA"/>
              </w:rPr>
              <w:t>2019-2020年，我市共投入约400万元建设7个长者食堂项目：沙坪街道桂林社区、沙坪街道新升社区、沙坪街道南山公园、址山镇四九村、桃源镇龙溪村、龙口镇湴蓼村和双合镇泗合村长者食堂。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baseline"/>
              <w:rPr>
                <w:rFonts w:hint="eastAsia" w:ascii="方正仿宋_GBK" w:hAnsi="方正仿宋_GBK" w:eastAsia="方正仿宋_GBK" w:cs="方正仿宋_GBK"/>
                <w:color w:val="auto"/>
                <w:sz w:val="28"/>
                <w:szCs w:val="28"/>
                <w:highlight w:val="none"/>
                <w:vertAlign w:val="baseline"/>
              </w:rPr>
            </w:pPr>
            <w:r>
              <w:rPr>
                <w:rFonts w:hint="eastAsia" w:ascii="方正仿宋_GBK" w:hAnsi="方正仿宋_GBK" w:eastAsia="方正仿宋_GBK" w:cs="方正仿宋_GBK"/>
                <w:color w:val="auto"/>
                <w:kern w:val="2"/>
                <w:sz w:val="28"/>
                <w:szCs w:val="28"/>
                <w:highlight w:val="none"/>
                <w:lang w:val="en-US" w:eastAsia="zh-CN" w:bidi="ar-SA"/>
              </w:rPr>
              <w:t>“大助餐”试点项目自2019年6月运营以来反响十分热烈，受到社会广泛关注。同时，市民政局对接市慈善会资源，资助长者饭堂就餐的特困、低保和重残等困难老人群体。</w:t>
            </w:r>
          </w:p>
        </w:tc>
        <w:tc>
          <w:tcPr>
            <w:tcW w:w="95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sz w:val="28"/>
                <w:szCs w:val="28"/>
                <w:highlight w:val="none"/>
                <w:vertAlign w:val="baseline"/>
                <w:lang w:eastAsia="zh-CN"/>
              </w:rPr>
            </w:pPr>
            <w:r>
              <w:rPr>
                <w:rFonts w:hint="eastAsia" w:ascii="方正仿宋_GBK" w:hAnsi="方正仿宋_GBK" w:eastAsia="方正仿宋_GBK" w:cs="方正仿宋_GBK"/>
                <w:color w:val="auto"/>
                <w:kern w:val="2"/>
                <w:sz w:val="28"/>
                <w:szCs w:val="28"/>
                <w:highlight w:val="none"/>
                <w:lang w:val="en-US" w:eastAsia="zh-CN" w:bidi="ar-SA"/>
              </w:rPr>
              <w:t>沙坪街道、桃源镇、龙口镇、址山镇、双合镇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sz w:val="28"/>
                <w:szCs w:val="28"/>
                <w:highlight w:val="none"/>
                <w:vertAlign w:val="baseline"/>
              </w:rPr>
            </w:pPr>
            <w:r>
              <w:rPr>
                <w:rFonts w:hint="eastAsia" w:ascii="方正仿宋_GBK" w:hAnsi="方正仿宋_GBK" w:eastAsia="方正仿宋_GBK" w:cs="方正仿宋_GBK"/>
                <w:color w:val="auto"/>
                <w:sz w:val="28"/>
                <w:szCs w:val="28"/>
                <w:highlight w:val="none"/>
                <w:lang w:eastAsia="zh-CN"/>
              </w:rPr>
              <w:t>老年人能力评估项目</w:t>
            </w:r>
          </w:p>
        </w:tc>
        <w:tc>
          <w:tcPr>
            <w:tcW w:w="3105" w:type="dxa"/>
            <w:vAlign w:val="center"/>
          </w:tcPr>
          <w:p>
            <w:pPr>
              <w:pageBreakBefore w:val="0"/>
              <w:widowControl w:val="0"/>
              <w:kinsoku/>
              <w:wordWrap/>
              <w:overflowPunct/>
              <w:topLinePunct w:val="0"/>
              <w:autoSpaceDE/>
              <w:autoSpaceDN/>
              <w:bidi w:val="0"/>
              <w:spacing w:line="560" w:lineRule="exact"/>
              <w:ind w:firstLine="560" w:firstLineChars="200"/>
              <w:jc w:val="both"/>
              <w:rPr>
                <w:rFonts w:hint="eastAsia" w:ascii="方正仿宋_GBK" w:hAnsi="方正仿宋_GBK" w:eastAsia="方正仿宋_GBK" w:cs="方正仿宋_GBK"/>
                <w:color w:val="auto"/>
                <w:sz w:val="28"/>
                <w:szCs w:val="28"/>
                <w:highlight w:val="none"/>
                <w:vertAlign w:val="baseline"/>
              </w:rPr>
            </w:pPr>
            <w:r>
              <w:rPr>
                <w:rFonts w:hint="eastAsia" w:ascii="方正仿宋_GBK" w:hAnsi="方正仿宋_GBK" w:eastAsia="方正仿宋_GBK" w:cs="方正仿宋_GBK"/>
                <w:color w:val="auto"/>
                <w:kern w:val="2"/>
                <w:sz w:val="28"/>
                <w:szCs w:val="28"/>
                <w:highlight w:val="none"/>
                <w:lang w:val="en-US" w:eastAsia="zh-CN" w:bidi="ar-SA"/>
              </w:rPr>
              <w:t>通过开展老年人能力评估，科学确定老年人养老服务需求、护理等级，实现照护服务与老年人照护需求合理匹配，促进养老服务资源公平有效配置。评估结果将作为未来我市老年人享受养老服务补贴、申请养老服务资源等政策的依据。</w:t>
            </w:r>
          </w:p>
        </w:tc>
        <w:tc>
          <w:tcPr>
            <w:tcW w:w="3870"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baseline"/>
              <w:rPr>
                <w:rFonts w:hint="default" w:ascii="方正仿宋_GBK" w:hAnsi="方正仿宋_GBK" w:eastAsia="方正仿宋_GBK" w:cs="方正仿宋_GBK"/>
                <w:color w:val="auto"/>
                <w:sz w:val="28"/>
                <w:szCs w:val="28"/>
                <w:highlight w:val="none"/>
                <w:vertAlign w:val="baseline"/>
                <w:lang w:val="en-US"/>
              </w:rPr>
            </w:pPr>
            <w:r>
              <w:rPr>
                <w:rFonts w:hint="eastAsia" w:ascii="方正仿宋_GBK" w:hAnsi="方正仿宋_GBK" w:eastAsia="方正仿宋_GBK" w:cs="方正仿宋_GBK"/>
                <w:color w:val="auto"/>
                <w:kern w:val="2"/>
                <w:sz w:val="28"/>
                <w:szCs w:val="28"/>
                <w:highlight w:val="none"/>
                <w:lang w:val="en-US" w:eastAsia="zh-CN" w:bidi="ar-SA"/>
              </w:rPr>
              <w:t>评估对象覆盖全市低保家庭、低收入家庭和特困供养60岁以上老人，截</w:t>
            </w:r>
            <w:r>
              <w:rPr>
                <w:rFonts w:hint="eastAsia" w:ascii="方正仿宋_GBK" w:hAnsi="方正仿宋_GBK" w:eastAsia="方正仿宋_GBK" w:cs="方正仿宋_GBK"/>
                <w:strike w:val="0"/>
                <w:dstrike w:val="0"/>
                <w:color w:val="auto"/>
                <w:kern w:val="2"/>
                <w:sz w:val="28"/>
                <w:szCs w:val="28"/>
                <w:highlight w:val="none"/>
                <w:u w:val="none"/>
                <w:lang w:val="en-US" w:eastAsia="zh-CN" w:bidi="ar-SA"/>
              </w:rPr>
              <w:t>至2020年12月，共评估1929人。</w:t>
            </w:r>
          </w:p>
        </w:tc>
        <w:tc>
          <w:tcPr>
            <w:tcW w:w="958"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sz w:val="28"/>
                <w:szCs w:val="28"/>
                <w:highlight w:val="none"/>
                <w:vertAlign w:val="baseline"/>
                <w:lang w:eastAsia="zh-CN"/>
              </w:rPr>
            </w:pPr>
            <w:r>
              <w:rPr>
                <w:rFonts w:hint="eastAsia" w:ascii="方正仿宋_GBK" w:hAnsi="方正仿宋_GBK" w:eastAsia="方正仿宋_GBK" w:cs="方正仿宋_GBK"/>
                <w:color w:val="auto"/>
                <w:kern w:val="2"/>
                <w:sz w:val="28"/>
                <w:szCs w:val="28"/>
                <w:highlight w:val="none"/>
                <w:lang w:val="en-US" w:eastAsia="zh-CN" w:bidi="ar-SA"/>
              </w:rPr>
              <w:t>全市</w:t>
            </w:r>
          </w:p>
        </w:tc>
      </w:tr>
    </w:tbl>
    <w:p>
      <w:pPr>
        <w:pStyle w:val="6"/>
        <w:keepNext/>
        <w:keepLines/>
        <w:pageBreakBefore w:val="0"/>
        <w:widowControl w:val="0"/>
        <w:kinsoku/>
        <w:wordWrap/>
        <w:overflowPunct/>
        <w:topLinePunct w:val="0"/>
        <w:autoSpaceDE/>
        <w:autoSpaceDN/>
        <w:bidi w:val="0"/>
        <w:adjustRightInd w:val="0"/>
        <w:snapToGrid w:val="0"/>
        <w:spacing w:before="0" w:after="0" w:line="560" w:lineRule="exact"/>
        <w:ind w:firstLine="643"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强化养老服务队伍专业能力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b w:val="0"/>
          <w:bCs w:val="0"/>
          <w:color w:val="auto"/>
          <w:kern w:val="2"/>
          <w:sz w:val="32"/>
          <w:szCs w:val="32"/>
          <w:highlight w:val="none"/>
          <w:lang w:val="en-US" w:eastAsia="zh-CN" w:bidi="ar-SA"/>
        </w:rPr>
        <w:t>加大政策支持与经费投入，通过政府组织及机构自行定制等多种形式，从专业技能、职业道德、安全应急等多方面对养老从业人员进行常态化培训，推动人才队伍的专业化发展。“十三五”期间，我市共组织相关培训19场，参与人数累计545人次。</w:t>
      </w:r>
    </w:p>
    <w:p>
      <w:pPr>
        <w:pageBreakBefore w:val="0"/>
        <w:kinsoku/>
        <w:wordWrap/>
        <w:overflowPunct/>
        <w:topLinePunct w:val="0"/>
        <w:autoSpaceDE/>
        <w:autoSpaceDN/>
        <w:bidi w:val="0"/>
        <w:snapToGrid w:val="0"/>
        <w:spacing w:line="560" w:lineRule="exact"/>
        <w:ind w:firstLine="640" w:firstLineChars="200"/>
        <w:jc w:val="left"/>
        <w:rPr>
          <w:rFonts w:hint="default" w:ascii="方正仿宋_GBK" w:hAnsi="方正仿宋_GBK" w:eastAsia="方正仿宋_GBK" w:cs="方正仿宋_GBK"/>
          <w:color w:val="auto"/>
          <w:sz w:val="32"/>
          <w:szCs w:val="32"/>
          <w:highlight w:val="none"/>
          <w:u w:val="single"/>
          <w:lang w:val="en-US" w:eastAsia="zh-CN"/>
        </w:rPr>
      </w:pPr>
      <w:r>
        <w:rPr>
          <w:rFonts w:hint="eastAsia" w:ascii="方正仿宋_GBK" w:hAnsi="方正仿宋_GBK" w:eastAsia="方正仿宋_GBK" w:cs="方正仿宋_GBK"/>
          <w:color w:val="auto"/>
          <w:sz w:val="32"/>
          <w:szCs w:val="32"/>
          <w:highlight w:val="none"/>
        </w:rPr>
        <w:t>积极组织参与</w:t>
      </w:r>
      <w:r>
        <w:rPr>
          <w:rFonts w:hint="eastAsia" w:ascii="方正仿宋_GBK" w:hAnsi="方正仿宋_GBK" w:eastAsia="方正仿宋_GBK" w:cs="方正仿宋_GBK"/>
          <w:color w:val="auto"/>
          <w:sz w:val="32"/>
          <w:szCs w:val="32"/>
          <w:highlight w:val="none"/>
          <w:lang w:eastAsia="zh-CN"/>
        </w:rPr>
        <w:t>广东省“</w:t>
      </w:r>
      <w:r>
        <w:rPr>
          <w:rFonts w:hint="eastAsia" w:ascii="方正仿宋_GBK" w:hAnsi="方正仿宋_GBK" w:eastAsia="方正仿宋_GBK" w:cs="方正仿宋_GBK"/>
          <w:color w:val="auto"/>
          <w:sz w:val="32"/>
          <w:szCs w:val="32"/>
          <w:highlight w:val="none"/>
        </w:rPr>
        <w:t>南粤家政</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江门市“五邑家政”养老护理员职业技能竞赛等各类养老服务专业技能大赛及“福彩杯”——广东“老有所依天使在身边”大型公益活动，通过竞赛及评选宣传先进典型，树立学习榜样，激励养老服务从业人员不断提高服务能力、管理水平和职业素养</w:t>
      </w:r>
      <w:r>
        <w:rPr>
          <w:rFonts w:hint="eastAsia" w:ascii="方正仿宋_GBK" w:hAnsi="方正仿宋_GBK" w:eastAsia="方正仿宋_GBK" w:cs="方正仿宋_GBK"/>
          <w:color w:val="auto"/>
          <w:sz w:val="32"/>
          <w:szCs w:val="32"/>
          <w:highlight w:val="none"/>
          <w:lang w:eastAsia="zh-CN"/>
        </w:rPr>
        <w:t>，其中获得国家级证书</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eastAsia="zh-CN"/>
        </w:rPr>
        <w:t>人次，省级证书</w:t>
      </w:r>
      <w:r>
        <w:rPr>
          <w:rFonts w:hint="eastAsia" w:ascii="方正仿宋_GBK" w:hAnsi="方正仿宋_GBK" w:eastAsia="方正仿宋_GBK" w:cs="方正仿宋_GBK"/>
          <w:color w:val="auto"/>
          <w:sz w:val="32"/>
          <w:szCs w:val="32"/>
          <w:highlight w:val="none"/>
          <w:lang w:val="en-US" w:eastAsia="zh-CN"/>
        </w:rPr>
        <w:t>1人次。</w:t>
      </w:r>
    </w:p>
    <w:tbl>
      <w:tblPr>
        <w:tblStyle w:val="19"/>
        <w:tblpPr w:leftFromText="180" w:rightFromText="180" w:vertAnchor="text" w:horzAnchor="page" w:tblpX="1845"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590"/>
        <w:gridCol w:w="885"/>
        <w:gridCol w:w="1635"/>
        <w:gridCol w:w="825"/>
        <w:gridCol w:w="1605"/>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701" w:type="dxa"/>
            <w:gridSpan w:val="7"/>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bCs/>
                <w:color w:val="auto"/>
                <w:sz w:val="28"/>
                <w:szCs w:val="28"/>
                <w:highlight w:val="none"/>
                <w:lang w:eastAsia="zh-CN"/>
              </w:rPr>
              <w:t>专栏</w:t>
            </w:r>
            <w:r>
              <w:rPr>
                <w:rFonts w:hint="eastAsia" w:ascii="方正仿宋_GBK" w:hAnsi="方正仿宋_GBK" w:eastAsia="方正仿宋_GBK" w:cs="方正仿宋_GBK"/>
                <w:b/>
                <w:bCs/>
                <w:color w:val="auto"/>
                <w:sz w:val="28"/>
                <w:szCs w:val="28"/>
                <w:highlight w:val="none"/>
                <w:lang w:val="en-US" w:eastAsia="zh-CN"/>
              </w:rPr>
              <w:t>3：“十三五”期间</w:t>
            </w:r>
            <w:r>
              <w:rPr>
                <w:rFonts w:hint="eastAsia" w:ascii="方正仿宋_GBK" w:hAnsi="方正仿宋_GBK" w:eastAsia="方正仿宋_GBK" w:cs="方正仿宋_GBK"/>
                <w:b/>
                <w:bCs/>
                <w:color w:val="auto"/>
                <w:sz w:val="28"/>
                <w:szCs w:val="28"/>
                <w:highlight w:val="none"/>
              </w:rPr>
              <w:t>政府部门组织的培训基本情况表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5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年度</w:t>
            </w:r>
          </w:p>
        </w:tc>
        <w:tc>
          <w:tcPr>
            <w:tcW w:w="159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专业技能培训（场次）</w:t>
            </w:r>
          </w:p>
        </w:tc>
        <w:tc>
          <w:tcPr>
            <w:tcW w:w="88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参与人次</w:t>
            </w:r>
          </w:p>
        </w:tc>
        <w:tc>
          <w:tcPr>
            <w:tcW w:w="163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职业道德培训（场次）</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参与人次</w:t>
            </w:r>
          </w:p>
        </w:tc>
        <w:tc>
          <w:tcPr>
            <w:tcW w:w="160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安全及应急培训（场次）</w:t>
            </w:r>
          </w:p>
        </w:tc>
        <w:tc>
          <w:tcPr>
            <w:tcW w:w="906"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参与人次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2016</w:t>
            </w:r>
          </w:p>
        </w:tc>
        <w:tc>
          <w:tcPr>
            <w:tcW w:w="1590"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88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32</w:t>
            </w:r>
          </w:p>
        </w:tc>
        <w:tc>
          <w:tcPr>
            <w:tcW w:w="163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82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20</w:t>
            </w:r>
          </w:p>
        </w:tc>
        <w:tc>
          <w:tcPr>
            <w:tcW w:w="160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906"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2017</w:t>
            </w:r>
          </w:p>
        </w:tc>
        <w:tc>
          <w:tcPr>
            <w:tcW w:w="1590"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88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22</w:t>
            </w:r>
          </w:p>
        </w:tc>
        <w:tc>
          <w:tcPr>
            <w:tcW w:w="163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0</w:t>
            </w:r>
          </w:p>
        </w:tc>
        <w:tc>
          <w:tcPr>
            <w:tcW w:w="82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0</w:t>
            </w:r>
          </w:p>
        </w:tc>
        <w:tc>
          <w:tcPr>
            <w:tcW w:w="160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w:t>
            </w:r>
          </w:p>
        </w:tc>
        <w:tc>
          <w:tcPr>
            <w:tcW w:w="906"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2018</w:t>
            </w:r>
          </w:p>
        </w:tc>
        <w:tc>
          <w:tcPr>
            <w:tcW w:w="1590"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w:t>
            </w:r>
          </w:p>
        </w:tc>
        <w:tc>
          <w:tcPr>
            <w:tcW w:w="88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46</w:t>
            </w:r>
          </w:p>
        </w:tc>
        <w:tc>
          <w:tcPr>
            <w:tcW w:w="163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82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40</w:t>
            </w:r>
          </w:p>
        </w:tc>
        <w:tc>
          <w:tcPr>
            <w:tcW w:w="160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906"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2019</w:t>
            </w:r>
          </w:p>
        </w:tc>
        <w:tc>
          <w:tcPr>
            <w:tcW w:w="1590"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w:t>
            </w:r>
          </w:p>
        </w:tc>
        <w:tc>
          <w:tcPr>
            <w:tcW w:w="88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48</w:t>
            </w:r>
          </w:p>
        </w:tc>
        <w:tc>
          <w:tcPr>
            <w:tcW w:w="163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0</w:t>
            </w:r>
          </w:p>
        </w:tc>
        <w:tc>
          <w:tcPr>
            <w:tcW w:w="82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0</w:t>
            </w:r>
          </w:p>
        </w:tc>
        <w:tc>
          <w:tcPr>
            <w:tcW w:w="160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906"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2020</w:t>
            </w:r>
          </w:p>
        </w:tc>
        <w:tc>
          <w:tcPr>
            <w:tcW w:w="1590"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w:t>
            </w:r>
          </w:p>
        </w:tc>
        <w:tc>
          <w:tcPr>
            <w:tcW w:w="88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187</w:t>
            </w:r>
          </w:p>
        </w:tc>
        <w:tc>
          <w:tcPr>
            <w:tcW w:w="163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0</w:t>
            </w:r>
          </w:p>
        </w:tc>
        <w:tc>
          <w:tcPr>
            <w:tcW w:w="82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0</w:t>
            </w:r>
          </w:p>
        </w:tc>
        <w:tc>
          <w:tcPr>
            <w:tcW w:w="160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906"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合计</w:t>
            </w:r>
          </w:p>
        </w:tc>
        <w:tc>
          <w:tcPr>
            <w:tcW w:w="1590"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w:t>
            </w:r>
          </w:p>
        </w:tc>
        <w:tc>
          <w:tcPr>
            <w:tcW w:w="88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335</w:t>
            </w:r>
          </w:p>
        </w:tc>
        <w:tc>
          <w:tcPr>
            <w:tcW w:w="163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w:t>
            </w:r>
          </w:p>
        </w:tc>
        <w:tc>
          <w:tcPr>
            <w:tcW w:w="82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60</w:t>
            </w:r>
          </w:p>
        </w:tc>
        <w:tc>
          <w:tcPr>
            <w:tcW w:w="1605"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w:t>
            </w:r>
          </w:p>
        </w:tc>
        <w:tc>
          <w:tcPr>
            <w:tcW w:w="906" w:type="dxa"/>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150</w:t>
            </w:r>
          </w:p>
        </w:tc>
      </w:tr>
    </w:tbl>
    <w:p>
      <w:pPr>
        <w:pStyle w:val="5"/>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二、存在问题</w:t>
      </w:r>
    </w:p>
    <w:p>
      <w:pPr>
        <w:pageBreakBefore w:val="0"/>
        <w:kinsoku/>
        <w:wordWrap/>
        <w:overflowPunct/>
        <w:topLinePunct w:val="0"/>
        <w:autoSpaceDE/>
        <w:autoSpaceDN/>
        <w:bidi w:val="0"/>
        <w:snapToGrid w:val="0"/>
        <w:spacing w:line="560" w:lineRule="exact"/>
        <w:ind w:firstLine="640" w:firstLineChars="200"/>
        <w:jc w:val="left"/>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color w:val="auto"/>
          <w:sz w:val="32"/>
          <w:szCs w:val="32"/>
          <w:highlight w:val="none"/>
        </w:rPr>
        <w:t>我</w:t>
      </w:r>
      <w:r>
        <w:rPr>
          <w:rFonts w:hint="eastAsia" w:ascii="方正仿宋_GBK" w:hAnsi="方正仿宋_GBK" w:eastAsia="方正仿宋_GBK" w:cs="方正仿宋_GBK"/>
          <w:bCs/>
          <w:color w:val="auto"/>
          <w:sz w:val="32"/>
          <w:szCs w:val="32"/>
          <w:highlight w:val="none"/>
        </w:rPr>
        <w:t>市养老服务事业在取得显著成绩的同时也暴露出若干问题。主要表现在：养老服务工作总体投入不足，资金短缺问题凸显；养老管理体制机制还不健全，部门协调机制尚未建立，管理岗位职责不清，管理较为粗放；公办机构养老服务质量不高，大量资源闲置，民办机构资源短缺，难以满足社会养老需求；</w:t>
      </w:r>
      <w:r>
        <w:rPr>
          <w:rFonts w:hint="eastAsia" w:ascii="方正仿宋_GBK" w:hAnsi="方正仿宋_GBK" w:eastAsia="方正仿宋_GBK" w:cs="方正仿宋_GBK"/>
          <w:color w:val="auto"/>
          <w:sz w:val="32"/>
          <w:szCs w:val="32"/>
          <w:highlight w:val="none"/>
        </w:rPr>
        <w:t>居家社区养老服务仍不成熟，社区养老服务机构规模过小，服务单一，无法满足居家社区养老需求；</w:t>
      </w:r>
      <w:r>
        <w:rPr>
          <w:rFonts w:hint="eastAsia" w:ascii="方正仿宋_GBK" w:hAnsi="方正仿宋_GBK" w:eastAsia="方正仿宋_GBK" w:cs="方正仿宋_GBK"/>
          <w:bCs/>
          <w:color w:val="auto"/>
          <w:sz w:val="32"/>
          <w:szCs w:val="32"/>
          <w:highlight w:val="none"/>
        </w:rPr>
        <w:t>服务队伍专业化水平普遍不高、年龄偏大，队伍流失情况较为严重，基层服务力量严重不足；养老服务信息化水平较低，无法实现养老服务信息的共建共享</w:t>
      </w:r>
      <w:r>
        <w:rPr>
          <w:rFonts w:hint="eastAsia" w:ascii="方正仿宋_GBK" w:hAnsi="方正仿宋_GBK" w:eastAsia="方正仿宋_GBK" w:cs="方正仿宋_GBK"/>
          <w:color w:val="auto"/>
          <w:sz w:val="32"/>
          <w:szCs w:val="32"/>
          <w:highlight w:val="none"/>
        </w:rPr>
        <w:t>，智慧养老发展迟滞</w:t>
      </w:r>
      <w:r>
        <w:rPr>
          <w:rFonts w:hint="eastAsia" w:ascii="方正仿宋_GBK" w:hAnsi="方正仿宋_GBK" w:eastAsia="方正仿宋_GBK" w:cs="方正仿宋_GBK"/>
          <w:bCs/>
          <w:color w:val="auto"/>
          <w:sz w:val="32"/>
          <w:szCs w:val="32"/>
          <w:highlight w:val="none"/>
        </w:rPr>
        <w:t>。</w:t>
      </w:r>
    </w:p>
    <w:p>
      <w:pPr>
        <w:pageBreakBefore w:val="0"/>
        <w:kinsoku/>
        <w:wordWrap/>
        <w:overflowPunct/>
        <w:topLinePunct w:val="0"/>
        <w:autoSpaceDE/>
        <w:autoSpaceDN/>
        <w:bidi w:val="0"/>
        <w:spacing w:line="560" w:lineRule="exact"/>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br w:type="page"/>
      </w:r>
    </w:p>
    <w:p>
      <w:pPr>
        <w:pStyle w:val="4"/>
        <w:pageBreakBefore w:val="0"/>
        <w:kinsoku/>
        <w:wordWrap/>
        <w:overflowPunct/>
        <w:topLinePunct w:val="0"/>
        <w:autoSpaceDE/>
        <w:autoSpaceDN/>
        <w:bidi w:val="0"/>
        <w:spacing w:line="560" w:lineRule="exact"/>
        <w:jc w:val="center"/>
        <w:rPr>
          <w:rFonts w:hint="eastAsia" w:ascii="方正黑体_GBK" w:hAnsi="方正黑体_GBK" w:eastAsia="方正黑体_GBK" w:cs="方正黑体_GBK"/>
          <w:color w:val="auto"/>
          <w:sz w:val="44"/>
          <w:szCs w:val="44"/>
          <w:highlight w:val="none"/>
        </w:rPr>
      </w:pPr>
      <w:r>
        <w:rPr>
          <w:rFonts w:hint="eastAsia" w:ascii="方正黑体_GBK" w:hAnsi="方正黑体_GBK" w:eastAsia="方正黑体_GBK" w:cs="方正黑体_GBK"/>
          <w:color w:val="auto"/>
          <w:sz w:val="44"/>
          <w:szCs w:val="44"/>
          <w:highlight w:val="none"/>
        </w:rPr>
        <w:t>第二章 发展形势</w:t>
      </w:r>
    </w:p>
    <w:p>
      <w:pPr>
        <w:pageBreakBefore w:val="0"/>
        <w:kinsoku/>
        <w:wordWrap/>
        <w:overflowPunct/>
        <w:topLinePunct w:val="0"/>
        <w:autoSpaceDE/>
        <w:autoSpaceDN/>
        <w:bidi w:val="0"/>
        <w:adjustRightInd w:val="0"/>
        <w:snapToGrid w:val="0"/>
        <w:spacing w:line="560" w:lineRule="exact"/>
        <w:ind w:firstLine="640"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党的十九大报告提出，中国从2020年到2035年，在全面建成小康社会的基础上，再奋斗十五年，基本实现社会主义现代化。“十四五”时期是我国全面建成小康社会、实现第一个百年奋斗目标之后，乘势而上开启全面建设社会主义现代化国家新征程、向第二个百年奋斗目标进军的第一个五年。纵观国内外发展形势和当前养老服务体系建设现状，“十四五”期间，鹤山市养老事业面临的机遇和挑战交织并存。 </w:t>
      </w:r>
    </w:p>
    <w:p>
      <w:pPr>
        <w:pageBreakBefore w:val="0"/>
        <w:kinsoku/>
        <w:wordWrap/>
        <w:overflowPunct/>
        <w:topLinePunct w:val="0"/>
        <w:autoSpaceDE/>
        <w:autoSpaceDN/>
        <w:bidi w:val="0"/>
        <w:adjustRightInd w:val="0"/>
        <w:snapToGrid w:val="0"/>
        <w:spacing w:line="560" w:lineRule="exact"/>
        <w:ind w:firstLine="643"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从国际形势看</w:t>
      </w:r>
      <w:r>
        <w:rPr>
          <w:rFonts w:hint="eastAsia" w:ascii="方正仿宋_GBK" w:hAnsi="方正仿宋_GBK" w:eastAsia="方正仿宋_GBK" w:cs="方正仿宋_GBK"/>
          <w:color w:val="auto"/>
          <w:sz w:val="32"/>
          <w:szCs w:val="32"/>
          <w:highlight w:val="none"/>
        </w:rPr>
        <w:t>：当今世界正经历百年未有之大变局，新冠肺炎疫情全球大流行使这个大变局加速演进，经济全球化遭遇逆流，世界经济低迷，世界进入动荡变革期。当前错综复杂的国际形势和经济形势，习近平总书记强调，要努力形成以国内大循环为主体、国内国际双循环相互促进的新发展格局。养老服务既是民生领域的重要工作，又是经济领域的重要工作。养老行业潜力巨大，市场广阔，加快推进养老服务业发展，对于全面建成小康社会、推动经济转型升级，是应对目前国际形势的重要手段。</w:t>
      </w:r>
    </w:p>
    <w:p>
      <w:pPr>
        <w:pageBreakBefore w:val="0"/>
        <w:kinsoku/>
        <w:wordWrap/>
        <w:overflowPunct/>
        <w:topLinePunct w:val="0"/>
        <w:autoSpaceDE/>
        <w:autoSpaceDN/>
        <w:bidi w:val="0"/>
        <w:adjustRightInd w:val="0"/>
        <w:snapToGrid w:val="0"/>
        <w:spacing w:line="560" w:lineRule="exact"/>
        <w:ind w:firstLine="643"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从国内形势看</w:t>
      </w:r>
      <w:r>
        <w:rPr>
          <w:rFonts w:hint="eastAsia" w:ascii="方正仿宋_GBK" w:hAnsi="方正仿宋_GBK" w:eastAsia="方正仿宋_GBK" w:cs="方正仿宋_GBK"/>
          <w:color w:val="auto"/>
          <w:sz w:val="32"/>
          <w:szCs w:val="32"/>
          <w:highlight w:val="none"/>
        </w:rPr>
        <w:t>：我国正处于实现中华民族伟大复兴的关键时期，我国社会主要矛盾发生变化，人民对美好生活的要求不断提高。同时，我国经济正处在转变发展方式、优化经济结构、转换增长动力的攻关期，实现高质量发展还有许多短板弱项，其中，在民生领域，养老服务体系的建设得到了高度的重视。十八大以来，国家出台了加快发展养老服务业、全面放开养老服务市场、推进医养结合、扫清破除养老服务发展障碍等政策措施，大力推动养老服务体系建设发展。</w:t>
      </w:r>
    </w:p>
    <w:p>
      <w:pPr>
        <w:pageBreakBefore w:val="0"/>
        <w:kinsoku/>
        <w:wordWrap/>
        <w:overflowPunct/>
        <w:topLinePunct w:val="0"/>
        <w:autoSpaceDE/>
        <w:autoSpaceDN/>
        <w:bidi w:val="0"/>
        <w:adjustRightInd w:val="0"/>
        <w:snapToGrid w:val="0"/>
        <w:spacing w:line="560" w:lineRule="exact"/>
        <w:ind w:firstLine="643"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从广东形势看：</w:t>
      </w:r>
      <w:r>
        <w:rPr>
          <w:rFonts w:hint="eastAsia" w:ascii="方正仿宋_GBK" w:hAnsi="方正仿宋_GBK" w:eastAsia="方正仿宋_GBK" w:cs="方正仿宋_GBK"/>
          <w:color w:val="auto"/>
          <w:sz w:val="32"/>
          <w:szCs w:val="32"/>
          <w:highlight w:val="none"/>
        </w:rPr>
        <w:t>“十三五”以来，省委、省政府顺应时势发展要求，提出构建民政领域“大救助、大养老、大儿童保障、大慈善、大社会治理”五大工作体系，在构建“大养老”体系过程中先后出台了40多个政策文件，在社区居家养老服务、机构养老服务、养老人才培养、市场化导向、服务质量提升等方面提出了要求。全省各地按要求构建完善符合地方实际、具有地方特色的养老服务体系，其中，广州、深圳更创新发展，发挥示范引领作用，为全省各地养老服务的发展提供可参考的发展模式。</w:t>
      </w:r>
    </w:p>
    <w:p>
      <w:pPr>
        <w:pageBreakBefore w:val="0"/>
        <w:kinsoku/>
        <w:wordWrap/>
        <w:overflowPunct/>
        <w:topLinePunct w:val="0"/>
        <w:autoSpaceDE/>
        <w:autoSpaceDN/>
        <w:bidi w:val="0"/>
        <w:adjustRightInd w:val="0"/>
        <w:snapToGrid w:val="0"/>
        <w:spacing w:line="560" w:lineRule="exact"/>
        <w:ind w:firstLine="643"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从鹤山形势看：</w:t>
      </w:r>
      <w:r>
        <w:rPr>
          <w:rFonts w:hint="eastAsia" w:ascii="方正仿宋_GBK" w:hAnsi="方正仿宋_GBK" w:eastAsia="方正仿宋_GBK" w:cs="方正仿宋_GBK"/>
          <w:color w:val="auto"/>
          <w:sz w:val="32"/>
          <w:szCs w:val="32"/>
          <w:highlight w:val="none"/>
        </w:rPr>
        <w:t>鹤山市是江门市的</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级城市，“十三五”期间，江门市和鹤山市纷纷出台相应的养老服务政策文件，为我市构建养老服务体系建设打下初步的基础。</w:t>
      </w:r>
      <w:r>
        <w:rPr>
          <w:rFonts w:hint="eastAsia" w:ascii="方正仿宋_GBK" w:hAnsi="方正仿宋_GBK" w:eastAsia="方正仿宋_GBK" w:cs="方正仿宋_GBK"/>
          <w:color w:val="auto"/>
          <w:sz w:val="32"/>
          <w:szCs w:val="32"/>
          <w:highlight w:val="none"/>
          <w:u w:val="none"/>
        </w:rPr>
        <w:t>我市养老服务体系发展</w:t>
      </w:r>
      <w:r>
        <w:rPr>
          <w:rFonts w:hint="eastAsia" w:ascii="方正仿宋_GBK" w:hAnsi="方正仿宋_GBK" w:eastAsia="方正仿宋_GBK" w:cs="方正仿宋_GBK"/>
          <w:color w:val="auto"/>
          <w:sz w:val="32"/>
          <w:szCs w:val="32"/>
          <w:highlight w:val="none"/>
          <w:u w:val="none"/>
          <w:lang w:eastAsia="zh-CN"/>
        </w:rPr>
        <w:t>较</w:t>
      </w:r>
      <w:r>
        <w:rPr>
          <w:rFonts w:hint="eastAsia" w:ascii="方正仿宋_GBK" w:hAnsi="方正仿宋_GBK" w:eastAsia="方正仿宋_GBK" w:cs="方正仿宋_GBK"/>
          <w:color w:val="auto"/>
          <w:sz w:val="32"/>
          <w:szCs w:val="32"/>
          <w:highlight w:val="none"/>
          <w:u w:val="none"/>
        </w:rPr>
        <w:t>不平衡、不完善，养老服务设施建设</w:t>
      </w:r>
      <w:r>
        <w:rPr>
          <w:rFonts w:hint="eastAsia" w:ascii="方正仿宋_GBK" w:hAnsi="方正仿宋_GBK" w:eastAsia="方正仿宋_GBK" w:cs="方正仿宋_GBK"/>
          <w:color w:val="auto"/>
          <w:sz w:val="32"/>
          <w:szCs w:val="32"/>
          <w:highlight w:val="none"/>
          <w:u w:val="none"/>
          <w:lang w:eastAsia="zh-CN"/>
        </w:rPr>
        <w:t>相对</w:t>
      </w:r>
      <w:r>
        <w:rPr>
          <w:rFonts w:hint="eastAsia" w:ascii="方正仿宋_GBK" w:hAnsi="方正仿宋_GBK" w:eastAsia="方正仿宋_GBK" w:cs="方正仿宋_GBK"/>
          <w:color w:val="auto"/>
          <w:sz w:val="32"/>
          <w:szCs w:val="32"/>
          <w:highlight w:val="none"/>
          <w:u w:val="none"/>
        </w:rPr>
        <w:t>滞后，部分养老服务处于起步阶段，</w:t>
      </w:r>
      <w:r>
        <w:rPr>
          <w:rFonts w:hint="eastAsia" w:ascii="方正仿宋_GBK" w:hAnsi="方正仿宋_GBK" w:eastAsia="方正仿宋_GBK" w:cs="方正仿宋_GBK"/>
          <w:color w:val="auto"/>
          <w:sz w:val="32"/>
          <w:szCs w:val="32"/>
          <w:highlight w:val="none"/>
        </w:rPr>
        <w:t>人口老龄化进程加快的事实要求鹤山市优化并大力推动养老服务体系建设，发展符合本地实际、具有本地特色的养老服务模式。</w:t>
      </w:r>
    </w:p>
    <w:p>
      <w:pPr>
        <w:pageBreakBefore w:val="0"/>
        <w:kinsoku/>
        <w:wordWrap/>
        <w:overflowPunct/>
        <w:topLinePunct w:val="0"/>
        <w:autoSpaceDE/>
        <w:autoSpaceDN/>
        <w:bidi w:val="0"/>
        <w:adjustRightInd w:val="0"/>
        <w:snapToGrid w:val="0"/>
        <w:spacing w:line="560" w:lineRule="exact"/>
        <w:ind w:firstLine="643" w:firstLineChars="200"/>
        <w:jc w:val="both"/>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挑战方面：</w:t>
      </w:r>
      <w:r>
        <w:rPr>
          <w:rFonts w:hint="eastAsia" w:ascii="方正仿宋_GBK" w:hAnsi="方正仿宋_GBK" w:eastAsia="方正仿宋_GBK" w:cs="方正仿宋_GBK"/>
          <w:color w:val="auto"/>
          <w:sz w:val="32"/>
          <w:szCs w:val="32"/>
          <w:highlight w:val="none"/>
          <w:lang w:val="en-US" w:eastAsia="zh-CN"/>
        </w:rPr>
        <w:t>根据鹤山市第七次全国人口普查公报数据显示，按照常住人口统计，全市60周岁及以上常住人口8.3万人，占常住人口总数15.64%（江门市常住总人口比例为18.26%，省常住老年人比例为12.35%）；按户籍人口统计，2020年底，我市60周岁及以上户籍老年人8.01万，占户籍人口总数20.7%（江门市户籍老年人比例为21.35%，省户籍老年人比例为15.27%）。鹤山市常住老年人比例和户籍老年人比例低于江门市水平，但都远高于全省平均水平。</w:t>
      </w:r>
      <w:r>
        <w:rPr>
          <w:rFonts w:hint="eastAsia" w:ascii="方正仿宋_GBK" w:hAnsi="方正仿宋_GBK" w:eastAsia="方正仿宋_GBK" w:cs="方正仿宋_GBK"/>
          <w:color w:val="auto"/>
          <w:sz w:val="32"/>
          <w:szCs w:val="32"/>
          <w:highlight w:val="none"/>
        </w:rPr>
        <w:t>我市的养老服务体系发展</w:t>
      </w:r>
      <w:r>
        <w:rPr>
          <w:rFonts w:hint="eastAsia" w:ascii="方正仿宋_GBK" w:hAnsi="方正仿宋_GBK" w:eastAsia="方正仿宋_GBK" w:cs="方正仿宋_GBK"/>
          <w:color w:val="auto"/>
          <w:sz w:val="32"/>
          <w:szCs w:val="32"/>
          <w:highlight w:val="none"/>
          <w:lang w:eastAsia="zh-CN"/>
        </w:rPr>
        <w:t>较</w:t>
      </w:r>
      <w:r>
        <w:rPr>
          <w:rFonts w:hint="eastAsia" w:ascii="方正仿宋_GBK" w:hAnsi="方正仿宋_GBK" w:eastAsia="方正仿宋_GBK" w:cs="方正仿宋_GBK"/>
          <w:color w:val="auto"/>
          <w:sz w:val="32"/>
          <w:szCs w:val="32"/>
          <w:highlight w:val="none"/>
        </w:rPr>
        <w:t>不平衡，发展规模不大，功能单一，服务质量不高，服务监管力度</w:t>
      </w:r>
      <w:r>
        <w:rPr>
          <w:rFonts w:hint="eastAsia" w:ascii="方正仿宋_GBK" w:hAnsi="方正仿宋_GBK" w:eastAsia="方正仿宋_GBK" w:cs="方正仿宋_GBK"/>
          <w:color w:val="auto"/>
          <w:sz w:val="32"/>
          <w:szCs w:val="32"/>
          <w:highlight w:val="none"/>
          <w:lang w:eastAsia="zh-CN"/>
        </w:rPr>
        <w:t>较</w:t>
      </w:r>
      <w:r>
        <w:rPr>
          <w:rFonts w:hint="eastAsia" w:ascii="方正仿宋_GBK" w:hAnsi="方正仿宋_GBK" w:eastAsia="方正仿宋_GBK" w:cs="方正仿宋_GBK"/>
          <w:color w:val="auto"/>
          <w:sz w:val="32"/>
          <w:szCs w:val="32"/>
          <w:highlight w:val="none"/>
        </w:rPr>
        <w:t>弱，民间资本投入热情</w:t>
      </w:r>
      <w:r>
        <w:rPr>
          <w:rFonts w:hint="eastAsia" w:ascii="方正仿宋_GBK" w:hAnsi="方正仿宋_GBK" w:eastAsia="方正仿宋_GBK" w:cs="方正仿宋_GBK"/>
          <w:color w:val="auto"/>
          <w:sz w:val="32"/>
          <w:szCs w:val="32"/>
          <w:highlight w:val="none"/>
          <w:lang w:eastAsia="zh-CN"/>
        </w:rPr>
        <w:t>不高</w:t>
      </w:r>
      <w:r>
        <w:rPr>
          <w:rFonts w:hint="eastAsia" w:ascii="方正仿宋_GBK" w:hAnsi="方正仿宋_GBK" w:eastAsia="方正仿宋_GBK" w:cs="方正仿宋_GBK"/>
          <w:color w:val="auto"/>
          <w:sz w:val="32"/>
          <w:szCs w:val="32"/>
          <w:highlight w:val="none"/>
        </w:rPr>
        <w:t>，多以政府购买的养老服务为主，普惠性、基础性、兜底性养老服务发展</w:t>
      </w:r>
      <w:r>
        <w:rPr>
          <w:rFonts w:hint="eastAsia" w:ascii="方正仿宋_GBK" w:hAnsi="方正仿宋_GBK" w:eastAsia="方正仿宋_GBK" w:cs="方正仿宋_GBK"/>
          <w:color w:val="auto"/>
          <w:sz w:val="32"/>
          <w:szCs w:val="32"/>
          <w:highlight w:val="none"/>
          <w:lang w:eastAsia="zh-CN"/>
        </w:rPr>
        <w:t>不够</w:t>
      </w:r>
      <w:r>
        <w:rPr>
          <w:rFonts w:hint="eastAsia" w:ascii="方正仿宋_GBK" w:hAnsi="方正仿宋_GBK" w:eastAsia="方正仿宋_GBK" w:cs="方正仿宋_GBK"/>
          <w:color w:val="auto"/>
          <w:sz w:val="32"/>
          <w:szCs w:val="32"/>
          <w:highlight w:val="none"/>
        </w:rPr>
        <w:t>完善。2020年，受新冠疫情影响，鹤山市中小企业和部分服务业受到较大冲击，养老</w:t>
      </w:r>
      <w:r>
        <w:rPr>
          <w:rFonts w:hint="eastAsia" w:ascii="方正仿宋_GBK" w:hAnsi="方正仿宋_GBK" w:eastAsia="方正仿宋_GBK" w:cs="方正仿宋_GBK"/>
          <w:color w:val="auto"/>
          <w:sz w:val="32"/>
          <w:szCs w:val="32"/>
          <w:highlight w:val="none"/>
          <w:lang w:eastAsia="zh-CN"/>
        </w:rPr>
        <w:t>服务</w:t>
      </w:r>
      <w:r>
        <w:rPr>
          <w:rFonts w:hint="eastAsia" w:ascii="方正仿宋_GBK" w:hAnsi="方正仿宋_GBK" w:eastAsia="方正仿宋_GBK" w:cs="方正仿宋_GBK"/>
          <w:color w:val="auto"/>
          <w:sz w:val="32"/>
          <w:szCs w:val="32"/>
          <w:highlight w:val="none"/>
        </w:rPr>
        <w:t>行业首当其冲，特别是民办养老服务机构，其收入锐减、运营支出大增，造成了巨大的经营压力。当前，</w:t>
      </w:r>
      <w:r>
        <w:rPr>
          <w:rFonts w:hint="eastAsia" w:ascii="方正仿宋_GBK" w:hAnsi="方正仿宋_GBK" w:eastAsia="方正仿宋_GBK" w:cs="方正仿宋_GBK"/>
          <w:color w:val="auto"/>
          <w:sz w:val="32"/>
          <w:szCs w:val="32"/>
          <w:highlight w:val="none"/>
          <w:lang w:eastAsia="zh-CN"/>
        </w:rPr>
        <w:t>虽然</w:t>
      </w:r>
      <w:r>
        <w:rPr>
          <w:rFonts w:hint="eastAsia" w:ascii="方正仿宋_GBK" w:hAnsi="方正仿宋_GBK" w:eastAsia="方正仿宋_GBK" w:cs="方正仿宋_GBK"/>
          <w:color w:val="auto"/>
          <w:sz w:val="32"/>
          <w:szCs w:val="32"/>
          <w:highlight w:val="none"/>
        </w:rPr>
        <w:t>已经恢复养老服务秩序，实施常态化疫情防控，养老服务机构的运营和管理依然面临着较大的挑战。</w:t>
      </w:r>
    </w:p>
    <w:p>
      <w:pPr>
        <w:pageBreakBefore w:val="0"/>
        <w:kinsoku/>
        <w:wordWrap/>
        <w:overflowPunct/>
        <w:topLinePunct w:val="0"/>
        <w:autoSpaceDE/>
        <w:autoSpaceDN/>
        <w:bidi w:val="0"/>
        <w:adjustRightInd w:val="0"/>
        <w:snapToGrid w:val="0"/>
        <w:spacing w:line="560" w:lineRule="exact"/>
        <w:ind w:firstLine="643" w:firstLineChars="200"/>
        <w:jc w:val="both"/>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机遇方面：</w:t>
      </w:r>
      <w:r>
        <w:rPr>
          <w:rFonts w:hint="eastAsia" w:ascii="方正仿宋_GBK" w:hAnsi="方正仿宋_GBK" w:eastAsia="方正仿宋_GBK" w:cs="方正仿宋_GBK"/>
          <w:color w:val="auto"/>
          <w:sz w:val="32"/>
          <w:szCs w:val="32"/>
          <w:highlight w:val="none"/>
        </w:rPr>
        <w:t>2019年，江门市纳入粤港澳大湾区规划发展，未来一段时期内，江门市人口吸引效能将进一步加大，人口老龄化将进一步加快，人口城镇化将进入新阶段。随着城镇化和老龄化水平持续提高，养老、医疗、护理等需求大幅增加，人口与资源环境的紧张关系持续凸显。作为江门的</w:t>
      </w:r>
      <w:r>
        <w:rPr>
          <w:rFonts w:hint="eastAsia" w:ascii="方正仿宋_GBK" w:hAnsi="方正仿宋_GBK" w:eastAsia="方正仿宋_GBK" w:cs="方正仿宋_GBK"/>
          <w:color w:val="auto"/>
          <w:sz w:val="32"/>
          <w:szCs w:val="32"/>
          <w:highlight w:val="none"/>
          <w:u w:val="none"/>
        </w:rPr>
        <w:t>一</w:t>
      </w:r>
      <w:r>
        <w:rPr>
          <w:rFonts w:hint="eastAsia" w:ascii="方正仿宋_GBK" w:hAnsi="方正仿宋_GBK" w:eastAsia="方正仿宋_GBK" w:cs="方正仿宋_GBK"/>
          <w:color w:val="auto"/>
          <w:sz w:val="32"/>
          <w:szCs w:val="32"/>
          <w:highlight w:val="none"/>
          <w:u w:val="none"/>
          <w:lang w:eastAsia="zh-CN"/>
        </w:rPr>
        <w:t>个</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级城市，鹤山市是我国著名的侨乡之一，旅游资源丰富，气候宜人，四季如春，适合海外华侨和港澳同胞回乡度假和养老。鹤山市现代工业发展</w:t>
      </w:r>
      <w:r>
        <w:rPr>
          <w:rFonts w:hint="eastAsia" w:ascii="方正仿宋_GBK" w:hAnsi="方正仿宋_GBK" w:eastAsia="方正仿宋_GBK" w:cs="方正仿宋_GBK"/>
          <w:color w:val="auto"/>
          <w:sz w:val="32"/>
          <w:szCs w:val="32"/>
          <w:highlight w:val="none"/>
          <w:u w:val="none"/>
        </w:rPr>
        <w:t>较好</w:t>
      </w:r>
      <w:r>
        <w:rPr>
          <w:rFonts w:hint="eastAsia" w:ascii="方正仿宋_GBK" w:hAnsi="方正仿宋_GBK" w:eastAsia="方正仿宋_GBK" w:cs="方正仿宋_GBK"/>
          <w:color w:val="auto"/>
          <w:sz w:val="32"/>
          <w:szCs w:val="32"/>
          <w:highlight w:val="none"/>
        </w:rPr>
        <w:t>，有较好的经济发展基础。对标深圳、广州等先进城市的做法，紧紧抓住粤港澳大湾区发展机遇，有助于推动我市养老服务体系往高质量方向发展。</w:t>
      </w:r>
    </w:p>
    <w:p>
      <w:pPr>
        <w:pageBreakBefore w:val="0"/>
        <w:kinsoku/>
        <w:wordWrap/>
        <w:overflowPunct/>
        <w:topLinePunct w:val="0"/>
        <w:autoSpaceDE/>
        <w:autoSpaceDN/>
        <w:bidi w:val="0"/>
        <w:adjustRightInd w:val="0"/>
        <w:snapToGrid w:val="0"/>
        <w:spacing w:line="560" w:lineRule="exact"/>
        <w:ind w:firstLine="640" w:firstLineChars="200"/>
        <w:jc w:val="left"/>
        <w:rPr>
          <w:rFonts w:hint="eastAsia" w:ascii="方正仿宋_GBK" w:hAnsi="方正仿宋_GBK" w:eastAsia="方正仿宋_GBK" w:cs="方正仿宋_GBK"/>
          <w:color w:val="auto"/>
          <w:sz w:val="32"/>
          <w:szCs w:val="32"/>
          <w:highlight w:val="none"/>
        </w:rPr>
      </w:pPr>
    </w:p>
    <w:p>
      <w:pPr>
        <w:pageBreakBefore w:val="0"/>
        <w:kinsoku/>
        <w:wordWrap/>
        <w:overflowPunct/>
        <w:topLinePunct w:val="0"/>
        <w:autoSpaceDE/>
        <w:autoSpaceDN/>
        <w:bidi w:val="0"/>
        <w:adjustRightInd w:val="0"/>
        <w:snapToGrid w:val="0"/>
        <w:spacing w:line="560" w:lineRule="exact"/>
        <w:jc w:val="left"/>
        <w:rPr>
          <w:rFonts w:hint="eastAsia" w:ascii="方正仿宋_GBK" w:hAnsi="方正仿宋_GBK" w:eastAsia="方正仿宋_GBK" w:cs="方正仿宋_GBK"/>
          <w:color w:val="auto"/>
          <w:sz w:val="32"/>
          <w:szCs w:val="32"/>
          <w:highlight w:val="none"/>
        </w:rPr>
      </w:pPr>
    </w:p>
    <w:p>
      <w:pPr>
        <w:pStyle w:val="2"/>
        <w:pageBreakBefore w:val="0"/>
        <w:kinsoku/>
        <w:wordWrap/>
        <w:overflowPunct/>
        <w:topLinePunct w:val="0"/>
        <w:autoSpaceDE/>
        <w:autoSpaceDN/>
        <w:bidi w:val="0"/>
        <w:spacing w:line="560" w:lineRule="exact"/>
        <w:rPr>
          <w:rFonts w:hint="eastAsia" w:ascii="方正仿宋_GBK" w:hAnsi="方正仿宋_GBK" w:eastAsia="方正仿宋_GBK" w:cs="方正仿宋_GBK"/>
          <w:color w:val="auto"/>
          <w:sz w:val="28"/>
          <w:szCs w:val="28"/>
          <w:highlight w:val="none"/>
        </w:rPr>
      </w:pPr>
    </w:p>
    <w:p>
      <w:pPr>
        <w:pageBreakBefore w:val="0"/>
        <w:kinsoku/>
        <w:wordWrap/>
        <w:overflowPunct/>
        <w:topLinePunct w:val="0"/>
        <w:autoSpaceDE/>
        <w:autoSpaceDN/>
        <w:bidi w:val="0"/>
        <w:spacing w:line="56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4"/>
        <w:pageBreakBefore w:val="0"/>
        <w:kinsoku/>
        <w:wordWrap/>
        <w:overflowPunct/>
        <w:topLinePunct w:val="0"/>
        <w:autoSpaceDE/>
        <w:autoSpaceDN/>
        <w:bidi w:val="0"/>
        <w:spacing w:line="560" w:lineRule="exact"/>
        <w:jc w:val="center"/>
        <w:rPr>
          <w:rFonts w:hint="eastAsia" w:ascii="方正黑体_GBK" w:hAnsi="方正黑体_GBK" w:eastAsia="方正黑体_GBK" w:cs="方正黑体_GBK"/>
          <w:color w:val="auto"/>
          <w:sz w:val="44"/>
          <w:szCs w:val="44"/>
          <w:highlight w:val="none"/>
        </w:rPr>
      </w:pPr>
      <w:r>
        <w:rPr>
          <w:rFonts w:hint="eastAsia" w:ascii="方正黑体_GBK" w:hAnsi="方正黑体_GBK" w:eastAsia="方正黑体_GBK" w:cs="方正黑体_GBK"/>
          <w:color w:val="auto"/>
          <w:sz w:val="44"/>
          <w:szCs w:val="44"/>
          <w:highlight w:val="none"/>
        </w:rPr>
        <w:t>第三章 总体要求</w:t>
      </w:r>
    </w:p>
    <w:p>
      <w:pPr>
        <w:pStyle w:val="5"/>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eastAsia" w:ascii="方正楷体_GBK" w:hAnsi="方正楷体_GBK" w:eastAsia="方正楷体_GBK" w:cs="方正楷体_GBK"/>
          <w:color w:val="auto"/>
          <w:sz w:val="32"/>
          <w:szCs w:val="32"/>
          <w:highlight w:val="none"/>
        </w:rPr>
        <w:t>指导思想</w:t>
      </w:r>
    </w:p>
    <w:p>
      <w:pPr>
        <w:pStyle w:val="9"/>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坚持以习近平新时代中国特色社会主义思想为指导，贯彻落实习近平总书记对广东系列重要讲话和指示批示精神</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坚持以人民为中心，充分发挥政府的主导作用和社会力量的主体作用，依托鹤山特有的资源优势，以基本养老服务为抓手</w:t>
      </w:r>
      <w:r>
        <w:rPr>
          <w:rFonts w:hint="eastAsia" w:ascii="方正仿宋_GBK" w:hAnsi="方正仿宋_GBK" w:eastAsia="方正仿宋_GBK" w:cs="方正仿宋_GBK"/>
          <w:color w:val="auto"/>
          <w:sz w:val="32"/>
          <w:szCs w:val="32"/>
          <w:highlight w:val="none"/>
          <w:u w:val="none"/>
          <w:lang w:val="en-US" w:eastAsia="zh-CN"/>
        </w:rPr>
        <w:t>，</w:t>
      </w:r>
      <w:r>
        <w:rPr>
          <w:rFonts w:hint="eastAsia" w:ascii="方正仿宋_GBK" w:hAnsi="方正仿宋_GBK" w:eastAsia="方正仿宋_GBK" w:cs="方正仿宋_GBK"/>
          <w:color w:val="auto"/>
          <w:kern w:val="2"/>
          <w:sz w:val="32"/>
          <w:szCs w:val="32"/>
          <w:highlight w:val="none"/>
          <w:u w:val="none"/>
          <w:lang w:val="en-US" w:eastAsia="zh-CN" w:bidi="zh-CN"/>
        </w:rPr>
        <w:t>加快构建居家社区机构相协调、医养康养相结合的养老服务体系，</w:t>
      </w:r>
      <w:r>
        <w:rPr>
          <w:rFonts w:hint="eastAsia" w:ascii="方正仿宋_GBK" w:hAnsi="方正仿宋_GBK" w:eastAsia="方正仿宋_GBK" w:cs="方正仿宋_GBK"/>
          <w:color w:val="auto"/>
          <w:sz w:val="32"/>
          <w:szCs w:val="32"/>
          <w:highlight w:val="none"/>
          <w:u w:val="none"/>
          <w:lang w:val="en-US" w:eastAsia="zh-CN"/>
        </w:rPr>
        <w:t>统</w:t>
      </w:r>
      <w:r>
        <w:rPr>
          <w:rFonts w:hint="eastAsia" w:ascii="方正仿宋_GBK" w:hAnsi="方正仿宋_GBK" w:eastAsia="方正仿宋_GBK" w:cs="方正仿宋_GBK"/>
          <w:color w:val="auto"/>
          <w:sz w:val="32"/>
          <w:szCs w:val="32"/>
          <w:highlight w:val="none"/>
          <w:lang w:val="en-US" w:eastAsia="zh-CN"/>
        </w:rPr>
        <w:t>筹推进养老事业和养老产业协调发展，着力破解养老服务发展障碍，打通“堵点”，消除“痛点”，有效增加优质养老服务供给，扎实推进养老服务高质量发展，满足人民群众日益增长的多样化养老服务需求，切实增强老年人及其家庭的获得感、幸福感、安全感。</w:t>
      </w:r>
    </w:p>
    <w:p>
      <w:pPr>
        <w:pStyle w:val="9"/>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二、基本原则</w:t>
      </w:r>
    </w:p>
    <w:p>
      <w:pPr>
        <w:pStyle w:val="9"/>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——多元参与，共建共享。</w:t>
      </w:r>
      <w:r>
        <w:rPr>
          <w:rFonts w:hint="eastAsia" w:ascii="方正仿宋_GBK" w:hAnsi="方正仿宋_GBK" w:eastAsia="方正仿宋_GBK" w:cs="方正仿宋_GBK"/>
          <w:color w:val="auto"/>
          <w:sz w:val="32"/>
          <w:szCs w:val="32"/>
          <w:highlight w:val="none"/>
          <w:lang w:val="en-US" w:eastAsia="zh-CN"/>
        </w:rPr>
        <w:t>坚持供给与需求双侧发力，充分发挥各级党委的统筹领导作用、政府的政策引导作用、市场在资源配置中的决定作用、社会力量在养老服务中的主体作用、家庭在养老服务中的基础作用，汇聚养老服务多元参与合力，形成政府、市场、社会、家庭共建共享的新时代养老服务发展格局。</w:t>
      </w:r>
    </w:p>
    <w:p>
      <w:pPr>
        <w:pStyle w:val="9"/>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——保障基本，统筹协调。</w:t>
      </w:r>
      <w:r>
        <w:rPr>
          <w:rFonts w:hint="eastAsia" w:ascii="方正仿宋_GBK" w:hAnsi="方正仿宋_GBK" w:eastAsia="方正仿宋_GBK" w:cs="方正仿宋_GBK"/>
          <w:color w:val="auto"/>
          <w:sz w:val="32"/>
          <w:szCs w:val="32"/>
          <w:highlight w:val="none"/>
          <w:lang w:val="en-US" w:eastAsia="zh-CN"/>
        </w:rPr>
        <w:t>坚持基本与普惠双向并举，强化政府兜底线、保基本职能，重点优先保障特殊困难老年人群体的基本养老服务需求，逐步实现基本养老服务惠及全市老年人。推进居家社区机构养老相协调，推动医养康养相结合，加大对基层和农村养老服务的投入，推动城乡基本养老服务均等化。</w:t>
      </w:r>
    </w:p>
    <w:p>
      <w:pPr>
        <w:pStyle w:val="9"/>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——突出重点，高质发展。</w:t>
      </w:r>
      <w:r>
        <w:rPr>
          <w:rFonts w:hint="eastAsia" w:ascii="方正仿宋_GBK" w:hAnsi="方正仿宋_GBK" w:eastAsia="方正仿宋_GBK" w:cs="方正仿宋_GBK"/>
          <w:color w:val="auto"/>
          <w:sz w:val="32"/>
          <w:szCs w:val="32"/>
          <w:highlight w:val="none"/>
          <w:lang w:val="en-US" w:eastAsia="zh-CN"/>
        </w:rPr>
        <w:t>坚持事业和产业双轮驱动，夯实家庭在养老服务的基础作用，完善居家社区养老服务网络，聚焦机构养老失能照护功能，加强基本养老服务供给，促进养老服务高质量发展。推进养老服务业标准化、品牌化建设，培育养老服务新业态，推动养老事业与产业协同发展。</w:t>
      </w:r>
    </w:p>
    <w:p>
      <w:pPr>
        <w:pStyle w:val="9"/>
        <w:pageBreakBefore w:val="0"/>
        <w:widowControl w:val="0"/>
        <w:kinsoku/>
        <w:wordWrap/>
        <w:overflowPunct/>
        <w:topLinePunct w:val="0"/>
        <w:autoSpaceDE/>
        <w:autoSpaceDN/>
        <w:bidi w:val="0"/>
        <w:adjustRightInd w:val="0"/>
        <w:snapToGrid w:val="0"/>
        <w:spacing w:line="560" w:lineRule="exact"/>
        <w:ind w:firstLine="643"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——改革创新，激发活力。</w:t>
      </w:r>
      <w:r>
        <w:rPr>
          <w:rFonts w:hint="eastAsia" w:ascii="方正仿宋_GBK" w:hAnsi="方正仿宋_GBK" w:eastAsia="方正仿宋_GBK" w:cs="方正仿宋_GBK"/>
          <w:color w:val="auto"/>
          <w:sz w:val="32"/>
          <w:szCs w:val="32"/>
          <w:highlight w:val="none"/>
          <w:lang w:val="en-US" w:eastAsia="zh-CN"/>
        </w:rPr>
        <w:t>坚持开放与监管双管齐下，落实养老服务扶持政策措施，健全行业标准制度规范，完善综合监管制度机制，营造高效规范、公平竞争的市场环境，充分激发各类市场主体活力。</w:t>
      </w:r>
    </w:p>
    <w:p>
      <w:pPr>
        <w:pStyle w:val="5"/>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val="en-US" w:eastAsia="zh-CN"/>
        </w:rPr>
        <w:t>三、</w:t>
      </w:r>
      <w:r>
        <w:rPr>
          <w:rFonts w:hint="eastAsia" w:ascii="方正楷体_GBK" w:hAnsi="方正楷体_GBK" w:eastAsia="方正楷体_GBK" w:cs="方正楷体_GBK"/>
          <w:color w:val="auto"/>
          <w:sz w:val="32"/>
          <w:szCs w:val="32"/>
          <w:highlight w:val="none"/>
          <w:lang w:eastAsia="zh-CN"/>
        </w:rPr>
        <w:t>发展目标</w:t>
      </w:r>
    </w:p>
    <w:p>
      <w:pPr>
        <w:pageBreakBefore w:val="0"/>
        <w:widowControl w:val="0"/>
        <w:kinsoku/>
        <w:wordWrap/>
        <w:overflowPunct/>
        <w:topLinePunct w:val="0"/>
        <w:autoSpaceDE/>
        <w:autoSpaceDN/>
        <w:bidi w:val="0"/>
        <w:adjustRightInd w:val="0"/>
        <w:snapToGrid w:val="0"/>
        <w:spacing w:line="560" w:lineRule="exact"/>
        <w:ind w:firstLine="640" w:firstLineChars="200"/>
        <w:jc w:val="left"/>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十四五”时期，全市养老服务发展的总体目标定位是，积极应对人口老龄化，高质量完成省、江门市部署的各项任务，基本建成居家社区机构相协调、医养康养相结合的养老服务体系，逐步形成兜底保障有力度、普惠供给高质量、高端服务可选择的多层次养老服务供给机制，推动养老事业和养老产业协同发展。令养老服务供给结构不断优化、社会有效投资明显扩大、养老服务消费潜力充分释放、养老服务质量持续改善。</w:t>
      </w:r>
    </w:p>
    <w:p>
      <w:pPr>
        <w:pageBreakBefore w:val="0"/>
        <w:widowControl w:val="0"/>
        <w:kinsoku/>
        <w:wordWrap/>
        <w:overflowPunct/>
        <w:topLinePunct w:val="0"/>
        <w:autoSpaceDE/>
        <w:autoSpaceDN/>
        <w:bidi w:val="0"/>
        <w:adjustRightInd w:val="0"/>
        <w:snapToGrid w:val="0"/>
        <w:spacing w:line="560" w:lineRule="exact"/>
        <w:ind w:firstLine="643" w:firstLineChars="200"/>
        <w:jc w:val="left"/>
        <w:rPr>
          <w:rFonts w:hint="eastAsia"/>
          <w:highlight w:val="none"/>
          <w:lang w:val="en-US" w:eastAsia="zh-CN"/>
        </w:rPr>
      </w:pPr>
      <w:r>
        <w:rPr>
          <w:rFonts w:hint="eastAsia" w:ascii="方正仿宋_GBK" w:hAnsi="方正仿宋_GBK" w:eastAsia="方正仿宋_GBK" w:cs="方正仿宋_GBK"/>
          <w:b/>
          <w:bCs/>
          <w:color w:val="000000" w:themeColor="text1"/>
          <w:kern w:val="2"/>
          <w:sz w:val="32"/>
          <w:szCs w:val="32"/>
          <w:highlight w:val="none"/>
          <w:lang w:val="en-US" w:eastAsia="zh-CN" w:bidi="zh-CN"/>
          <w14:textFill>
            <w14:solidFill>
              <w14:schemeClr w14:val="tx1"/>
            </w14:solidFill>
          </w14:textFill>
        </w:rPr>
        <w:t>——“增量”：</w:t>
      </w:r>
      <w:r>
        <w:rPr>
          <w:rFonts w:hint="eastAsia" w:ascii="方正仿宋_GBK" w:hAnsi="方正仿宋_GBK" w:eastAsia="方正仿宋_GBK" w:cs="方正仿宋_GBK"/>
          <w:color w:val="000000" w:themeColor="text1"/>
          <w:kern w:val="2"/>
          <w:sz w:val="32"/>
          <w:szCs w:val="32"/>
          <w:highlight w:val="none"/>
          <w:lang w:val="en-US" w:eastAsia="zh-CN" w:bidi="zh-CN"/>
          <w14:textFill>
            <w14:solidFill>
              <w14:schemeClr w14:val="tx1"/>
            </w14:solidFill>
          </w14:textFill>
        </w:rPr>
        <w:t>以加强家庭养老、社区居家养老、机构养老基础设施建设为抓手，从新建城区、新建居住（小）区配套建设社区养老服务设施、居家养老服务示范点、老年助餐服务场所、全市养老机构数量、护理型床位占比、养老从业人员培训等指标去加强养老服务设施建设要素保障。</w:t>
      </w:r>
    </w:p>
    <w:p>
      <w:pPr>
        <w:pStyle w:val="2"/>
        <w:pageBreakBefore w:val="0"/>
        <w:widowControl w:val="0"/>
        <w:kinsoku/>
        <w:wordWrap/>
        <w:overflowPunct/>
        <w:topLinePunct w:val="0"/>
        <w:autoSpaceDE/>
        <w:autoSpaceDN/>
        <w:bidi w:val="0"/>
        <w:adjustRightInd w:val="0"/>
        <w:snapToGrid w:val="0"/>
        <w:spacing w:line="560" w:lineRule="exact"/>
        <w:rPr>
          <w:rFonts w:hint="eastAsia" w:ascii="方正仿宋_GBK" w:hAnsi="方正仿宋_GBK" w:eastAsia="方正仿宋_GBK" w:cs="方正仿宋_GBK"/>
          <w:color w:val="000000" w:themeColor="text1"/>
          <w:kern w:val="2"/>
          <w:sz w:val="32"/>
          <w:szCs w:val="32"/>
          <w:highlight w:val="none"/>
          <w:lang w:val="en-US" w:eastAsia="zh-CN" w:bidi="zh-CN"/>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highlight w:val="none"/>
          <w:lang w:val="en-US" w:eastAsia="zh-CN" w:bidi="zh-CN"/>
          <w14:textFill>
            <w14:solidFill>
              <w14:schemeClr w14:val="tx1"/>
            </w14:solidFill>
          </w14:textFill>
        </w:rPr>
        <w:t>——“增能”：</w:t>
      </w:r>
      <w:r>
        <w:rPr>
          <w:rFonts w:hint="eastAsia" w:ascii="方正仿宋_GBK" w:hAnsi="方正仿宋_GBK" w:eastAsia="方正仿宋_GBK" w:cs="方正仿宋_GBK"/>
          <w:color w:val="000000" w:themeColor="text1"/>
          <w:kern w:val="2"/>
          <w:sz w:val="32"/>
          <w:szCs w:val="32"/>
          <w:highlight w:val="none"/>
          <w:lang w:val="en-US" w:eastAsia="zh-CN" w:bidi="zh-CN"/>
          <w14:textFill>
            <w14:solidFill>
              <w14:schemeClr w14:val="tx1"/>
            </w14:solidFill>
          </w14:textFill>
        </w:rPr>
        <w:t>努力实现养老服务从“有”到“优”，</w:t>
      </w:r>
      <w:r>
        <w:rPr>
          <w:rFonts w:hint="eastAsia" w:ascii="方正仿宋_GBK" w:hAnsi="方正仿宋_GBK" w:eastAsia="方正仿宋_GBK" w:cs="方正仿宋_GBK"/>
          <w:color w:val="auto"/>
          <w:kern w:val="2"/>
          <w:sz w:val="32"/>
          <w:szCs w:val="32"/>
          <w:highlight w:val="none"/>
          <w:lang w:val="en-US" w:eastAsia="zh-CN" w:bidi="zh-CN"/>
        </w:rPr>
        <w:t>建立健全基本养老服务制度，</w:t>
      </w:r>
      <w:r>
        <w:rPr>
          <w:rFonts w:hint="eastAsia" w:ascii="方正仿宋_GBK" w:hAnsi="方正仿宋_GBK" w:eastAsia="方正仿宋_GBK" w:cs="方正仿宋_GBK"/>
          <w:color w:val="000000" w:themeColor="text1"/>
          <w:kern w:val="2"/>
          <w:sz w:val="32"/>
          <w:szCs w:val="32"/>
          <w:highlight w:val="none"/>
          <w:lang w:val="en-US" w:eastAsia="zh-CN" w:bidi="zh-CN"/>
          <w14:textFill>
            <w14:solidFill>
              <w14:schemeClr w14:val="tx1"/>
            </w14:solidFill>
          </w14:textFill>
        </w:rPr>
        <w:t>不断强化养老服务“兜底线、保基本”功能，</w:t>
      </w:r>
      <w:r>
        <w:rPr>
          <w:rFonts w:hint="eastAsia" w:ascii="方正仿宋_GBK" w:hAnsi="方正仿宋_GBK" w:eastAsia="方正仿宋_GBK" w:cs="方正仿宋_GBK"/>
          <w:color w:val="auto"/>
          <w:kern w:val="2"/>
          <w:sz w:val="32"/>
          <w:szCs w:val="32"/>
          <w:highlight w:val="none"/>
          <w:lang w:val="en-US" w:eastAsia="zh-CN" w:bidi="zh-CN"/>
        </w:rPr>
        <w:t>全面提升养老机构管理水平、护理水平、服务质量，有效推进社会办养老机构规模化、高质量发展，</w:t>
      </w:r>
      <w:r>
        <w:rPr>
          <w:rFonts w:hint="eastAsia" w:ascii="方正仿宋_GBK" w:hAnsi="方正仿宋_GBK" w:eastAsia="方正仿宋_GBK" w:cs="方正仿宋_GBK"/>
          <w:color w:val="000000" w:themeColor="text1"/>
          <w:kern w:val="2"/>
          <w:sz w:val="32"/>
          <w:szCs w:val="32"/>
          <w:highlight w:val="none"/>
          <w:lang w:val="en-US" w:eastAsia="zh-CN" w:bidi="zh-CN"/>
          <w14:textFill>
            <w14:solidFill>
              <w14:schemeClr w14:val="tx1"/>
            </w14:solidFill>
          </w14:textFill>
        </w:rPr>
        <w:t>全面提升医养结合能力，积极推进养老服务标准化和智能化发展，逐步完善多元化养老服务供给体系。</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43" w:firstLineChars="200"/>
        <w:textAlignment w:val="baseline"/>
        <w:rPr>
          <w:rFonts w:hint="eastAsia" w:ascii="方正仿宋_GBK" w:hAnsi="方正仿宋_GBK" w:eastAsia="方正仿宋_GBK" w:cs="方正仿宋_GBK"/>
          <w:b/>
          <w:bCs/>
          <w:color w:val="auto"/>
          <w:kern w:val="2"/>
          <w:sz w:val="32"/>
          <w:szCs w:val="32"/>
          <w:highlight w:val="none"/>
          <w:lang w:val="en-US" w:eastAsia="zh-CN" w:bidi="zh-CN"/>
        </w:rPr>
      </w:pPr>
      <w:r>
        <w:rPr>
          <w:rFonts w:hint="eastAsia" w:ascii="方正仿宋_GBK" w:hAnsi="方正仿宋_GBK" w:eastAsia="方正仿宋_GBK" w:cs="方正仿宋_GBK"/>
          <w:b/>
          <w:bCs/>
          <w:color w:val="000000" w:themeColor="text1"/>
          <w:kern w:val="2"/>
          <w:sz w:val="32"/>
          <w:szCs w:val="32"/>
          <w:highlight w:val="none"/>
          <w:lang w:val="en-US" w:eastAsia="zh-CN" w:bidi="zh-CN"/>
          <w14:textFill>
            <w14:solidFill>
              <w14:schemeClr w14:val="tx1"/>
            </w14:solidFill>
          </w14:textFill>
        </w:rPr>
        <w:t>——“增效”</w:t>
      </w:r>
      <w:r>
        <w:rPr>
          <w:rFonts w:hint="eastAsia" w:ascii="方正仿宋_GBK" w:hAnsi="方正仿宋_GBK" w:eastAsia="方正仿宋_GBK" w:cs="方正仿宋_GBK"/>
          <w:color w:val="000000" w:themeColor="text1"/>
          <w:kern w:val="2"/>
          <w:sz w:val="32"/>
          <w:szCs w:val="32"/>
          <w:highlight w:val="none"/>
          <w:lang w:val="en-US" w:eastAsia="zh-CN" w:bidi="zh-CN"/>
          <w14:textFill>
            <w14:solidFill>
              <w14:schemeClr w14:val="tx1"/>
            </w14:solidFill>
          </w14:textFill>
        </w:rPr>
        <w:t>：发展旅居养老服务新业态，发展壮大养老服务产业，社会有效投资明显扩大，养老服务消费潜力充分释放，综合监管制度建立健全，养老服务的效率、效益、效能全面增强，各类市场主体的活力充分激发，公平竞争、健康有序的养老服务市场环境稳健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p>
    <w:p>
      <w:pPr>
        <w:pStyle w:val="4"/>
        <w:pageBreakBefore w:val="0"/>
        <w:kinsoku/>
        <w:wordWrap/>
        <w:overflowPunct/>
        <w:topLinePunct w:val="0"/>
        <w:autoSpaceDE/>
        <w:autoSpaceDN/>
        <w:bidi w:val="0"/>
        <w:spacing w:line="560" w:lineRule="exact"/>
        <w:jc w:val="center"/>
        <w:rPr>
          <w:rFonts w:hint="eastAsia" w:ascii="方正黑体_GBK" w:hAnsi="方正黑体_GBK" w:eastAsia="方正黑体_GBK" w:cs="方正黑体_GBK"/>
          <w:color w:val="auto"/>
          <w:sz w:val="44"/>
          <w:szCs w:val="44"/>
          <w:highlight w:val="none"/>
        </w:rPr>
      </w:pPr>
      <w:r>
        <w:rPr>
          <w:rFonts w:hint="eastAsia" w:ascii="方正黑体_GBK" w:hAnsi="方正黑体_GBK" w:eastAsia="方正黑体_GBK" w:cs="方正黑体_GBK"/>
          <w:color w:val="auto"/>
          <w:sz w:val="44"/>
          <w:szCs w:val="44"/>
          <w:highlight w:val="none"/>
        </w:rPr>
        <w:t>第四章 主要任务和实施路径</w:t>
      </w:r>
    </w:p>
    <w:p>
      <w:pPr>
        <w:pStyle w:val="5"/>
        <w:keepNext/>
        <w:keepLines/>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rPr>
          <w:rFonts w:hint="eastAsia" w:ascii="方正楷体_GBK" w:hAnsi="方正楷体_GBK" w:eastAsia="方正楷体_GBK" w:cs="方正楷体_GBK"/>
          <w:b/>
          <w:bCs/>
          <w:i w:val="0"/>
          <w:caps w:val="0"/>
          <w:color w:val="auto"/>
          <w:spacing w:val="0"/>
          <w:kern w:val="0"/>
          <w:sz w:val="32"/>
          <w:szCs w:val="32"/>
          <w:highlight w:val="none"/>
          <w:lang w:val="en-US" w:eastAsia="zh-CN" w:bidi="ar"/>
        </w:rPr>
      </w:pPr>
      <w:r>
        <w:rPr>
          <w:rFonts w:hint="eastAsia" w:ascii="方正楷体_GBK" w:hAnsi="方正楷体_GBK" w:eastAsia="方正楷体_GBK" w:cs="方正楷体_GBK"/>
          <w:b/>
          <w:bCs/>
          <w:i w:val="0"/>
          <w:caps w:val="0"/>
          <w:color w:val="auto"/>
          <w:spacing w:val="0"/>
          <w:kern w:val="0"/>
          <w:sz w:val="32"/>
          <w:szCs w:val="32"/>
          <w:highlight w:val="none"/>
          <w:lang w:val="en-US" w:eastAsia="zh-CN" w:bidi="ar"/>
        </w:rPr>
        <w:t>一、健全完善基本养老服务制度</w:t>
      </w:r>
      <w:bookmarkStart w:id="0" w:name="_Toc768"/>
    </w:p>
    <w:p>
      <w:pPr>
        <w:pStyle w:val="5"/>
        <w:keepNext/>
        <w:keepLines/>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caps w:val="0"/>
          <w:color w:val="auto"/>
          <w:spacing w:val="0"/>
          <w:kern w:val="0"/>
          <w:sz w:val="32"/>
          <w:szCs w:val="32"/>
          <w:highlight w:val="none"/>
          <w:lang w:val="en-US" w:eastAsia="zh-CN" w:bidi="ar"/>
        </w:rPr>
        <w:t>强化政府兜底保障职能，完善特困老年人兜底供养制度。建立基本养老服务清单制度，推动实现人人享有基本养老服务。推进高龄津贴和护理补贴等老年人福利补贴优化整合，推动与残疾人两项补贴、社会救助等政策进一步衔接。逐步构建以养老保险为基础，从居家、社区到专业机构相衔接，社会救助、社会福利、慈善事业、商业保险为补充的多层次照护保障体系。实施老年人能力综合评估，健全养老服务评估制度，建立养老服务监测分析与发展评价机制。</w:t>
      </w:r>
    </w:p>
    <w:p>
      <w:pPr>
        <w:pStyle w:val="5"/>
        <w:keepNext/>
        <w:keepLines/>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highlight w:val="none"/>
          <w:lang w:val="en-US" w:eastAsia="zh-CN" w:bidi="ar"/>
        </w:rPr>
      </w:pPr>
      <w:r>
        <w:rPr>
          <w:rFonts w:hint="eastAsia" w:ascii="方正楷体_GBK" w:hAnsi="方正楷体_GBK" w:eastAsia="方正楷体_GBK" w:cs="方正楷体_GBK"/>
          <w:b/>
          <w:bCs/>
          <w:i w:val="0"/>
          <w:caps w:val="0"/>
          <w:color w:val="auto"/>
          <w:spacing w:val="0"/>
          <w:kern w:val="0"/>
          <w:sz w:val="32"/>
          <w:szCs w:val="32"/>
          <w:highlight w:val="none"/>
          <w:lang w:val="en-US" w:eastAsia="zh-CN" w:bidi="ar"/>
        </w:rPr>
        <w:t>二、不断提升和优化养老机构服务功能</w:t>
      </w:r>
    </w:p>
    <w:p>
      <w:pPr>
        <w:pStyle w:val="5"/>
        <w:keepNext/>
        <w:keepLines/>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highlight w:val="none"/>
          <w:lang w:val="en-US" w:eastAsia="zh-CN" w:bidi="ar"/>
        </w:rPr>
      </w:pPr>
      <w:r>
        <w:rPr>
          <w:rStyle w:val="37"/>
          <w:rFonts w:hint="eastAsia" w:ascii="方正仿宋_GBK" w:hAnsi="方正仿宋_GBK" w:eastAsia="方正仿宋_GBK" w:cs="方正仿宋_GBK"/>
          <w:b/>
          <w:color w:val="auto"/>
          <w:kern w:val="0"/>
          <w:sz w:val="32"/>
          <w:szCs w:val="32"/>
          <w:highlight w:val="none"/>
          <w:lang w:val="en-US" w:eastAsia="zh-CN" w:bidi="ar"/>
        </w:rPr>
        <w:t>1.强化</w:t>
      </w:r>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公办养老机构</w:t>
      </w:r>
      <w:r>
        <w:rPr>
          <w:rStyle w:val="37"/>
          <w:rFonts w:hint="eastAsia" w:ascii="方正仿宋_GBK" w:hAnsi="方正仿宋_GBK" w:eastAsia="方正仿宋_GBK" w:cs="方正仿宋_GBK"/>
          <w:b/>
          <w:color w:val="auto"/>
          <w:kern w:val="0"/>
          <w:sz w:val="32"/>
          <w:szCs w:val="32"/>
          <w:highlight w:val="none"/>
          <w:lang w:val="en-US" w:eastAsia="zh-CN" w:bidi="ar"/>
        </w:rPr>
        <w:t>“兜底线、保基本”功能</w:t>
      </w:r>
      <w:bookmarkEnd w:id="0"/>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w:t>
      </w:r>
      <w:r>
        <w:rPr>
          <w:rFonts w:hint="eastAsia" w:ascii="方正仿宋_GBK" w:hAnsi="方正仿宋_GBK" w:eastAsia="方正仿宋_GBK" w:cs="方正仿宋_GBK"/>
          <w:b w:val="0"/>
          <w:bCs w:val="0"/>
          <w:i w:val="0"/>
          <w:caps w:val="0"/>
          <w:color w:val="auto"/>
          <w:spacing w:val="0"/>
          <w:kern w:val="0"/>
          <w:sz w:val="32"/>
          <w:szCs w:val="32"/>
          <w:highlight w:val="none"/>
          <w:lang w:val="en-US" w:eastAsia="zh-CN" w:bidi="ar"/>
        </w:rPr>
        <w:t>健全城乡特困老人供养服务制度，始终坚持公办（含公建民营等委托经营模式）养老机构兜底保障核心功能，充分发挥公办养老机构兜底、普惠和示范作用，对符合特困供养条件的老年人实现“应保尽保、应养尽养”。建立健全公办养老机构入住评估轮候制度，在满足特困人员集中供养需求基础上，重点保障城乡低收入家庭及经济困难的计划生育特殊家庭、退役军人和其他优抚对象中失能老年人的入住托养需求，优先接收事实无人照料的孤寡、独居、空巢、留守、高龄失能老年人。</w:t>
      </w:r>
    </w:p>
    <w:p>
      <w:pPr>
        <w:pageBreakBefore w:val="0"/>
        <w:kinsoku/>
        <w:wordWrap/>
        <w:overflowPunct/>
        <w:topLinePunct w:val="0"/>
        <w:autoSpaceDE/>
        <w:autoSpaceDN/>
        <w:bidi w:val="0"/>
        <w:spacing w:line="560" w:lineRule="exact"/>
        <w:rPr>
          <w:rFonts w:hint="eastAsia" w:ascii="方正仿宋_GBK" w:hAnsi="方正仿宋_GBK" w:eastAsia="方正仿宋_GBK" w:cs="方正仿宋_GBK"/>
          <w:b w:val="0"/>
          <w:bCs w:val="0"/>
          <w:i w:val="0"/>
          <w:caps w:val="0"/>
          <w:color w:val="auto"/>
          <w:spacing w:val="0"/>
          <w:kern w:val="0"/>
          <w:sz w:val="32"/>
          <w:szCs w:val="32"/>
          <w:highlight w:val="none"/>
          <w:lang w:val="en-US" w:eastAsia="zh-CN" w:bidi="ar"/>
        </w:rPr>
      </w:pPr>
      <w:r>
        <w:rPr>
          <w:rFonts w:hint="eastAsia"/>
          <w:color w:val="auto"/>
          <w:sz w:val="32"/>
          <w:szCs w:val="32"/>
          <w:highlight w:val="none"/>
          <w:lang w:val="en-US" w:eastAsia="zh-CN"/>
        </w:rPr>
        <w:t xml:space="preserve">    </w:t>
      </w:r>
      <w:r>
        <w:rPr>
          <w:rStyle w:val="37"/>
          <w:rFonts w:hint="eastAsia" w:ascii="方正仿宋_GBK" w:hAnsi="方正仿宋_GBK" w:eastAsia="方正仿宋_GBK" w:cs="方正仿宋_GBK"/>
          <w:b/>
          <w:color w:val="auto"/>
          <w:kern w:val="0"/>
          <w:sz w:val="32"/>
          <w:szCs w:val="32"/>
          <w:highlight w:val="none"/>
          <w:lang w:val="en-US" w:eastAsia="zh-CN" w:bidi="ar"/>
        </w:rPr>
        <w:t>2.加快特困人员供养服务设施（敬老院）改造。</w:t>
      </w:r>
      <w:r>
        <w:rPr>
          <w:rFonts w:hint="eastAsia" w:ascii="方正仿宋_GBK" w:hAnsi="方正仿宋_GBK" w:eastAsia="方正仿宋_GBK" w:cs="方正仿宋_GBK"/>
          <w:b w:val="0"/>
          <w:bCs w:val="0"/>
          <w:i w:val="0"/>
          <w:caps w:val="0"/>
          <w:color w:val="auto"/>
          <w:spacing w:val="0"/>
          <w:kern w:val="0"/>
          <w:sz w:val="32"/>
          <w:szCs w:val="32"/>
          <w:highlight w:val="none"/>
          <w:lang w:val="en-US" w:eastAsia="zh-CN" w:bidi="ar"/>
        </w:rPr>
        <w:t>围绕优化结构布局、改善基础设施、配齐人员队伍、强化服务管理等方面，全面提升特困人员供养服务设施（敬老院）建设，提升供养服务与照护服务能力。对偏、远、小（规模小、供养人员少）、服务能力较弱且改造可行性低的敬老院进行整合转型，对入住供养人员数量多、环境设施和地理位置较好的敬老院实施改扩建与适老化改造，或通过整合乡镇撤并后空置的学校、政府办公场所等资源改建、扩建、置换等方法，建成具有辐射功能的区域性养老服务中心。到2022年底前，将市福利院改造完善成为符合省三星级以上标准，以失能、部分失能特困人员专业照护为主的县级供养服务设施。到2023年底，全市建设不少于2家区域性养老服务中心并发挥区域性集中供养功能；到2025年，基本形成能够满足供养对象需求、县镇供养服务设施相衔接、布局科学、配置均衡、服务完善的养老服务兜底保障网络。</w:t>
      </w:r>
    </w:p>
    <w:tbl>
      <w:tblPr>
        <w:tblStyle w:val="19"/>
        <w:tblW w:w="870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1575"/>
        <w:gridCol w:w="2723"/>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0" w:type="dxa"/>
            <w:gridSpan w:val="4"/>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pPr>
            <w:r>
              <w:rPr>
                <w:rFonts w:hint="eastAsia" w:ascii="方正仿宋_GBK" w:hAnsi="方正仿宋_GBK" w:eastAsia="方正仿宋_GBK" w:cs="方正仿宋_GBK"/>
                <w:b/>
                <w:bCs/>
                <w:color w:val="auto"/>
                <w:sz w:val="28"/>
                <w:szCs w:val="28"/>
                <w:highlight w:val="none"/>
                <w:lang w:eastAsia="zh-CN"/>
              </w:rPr>
              <w:t>专栏</w:t>
            </w:r>
            <w:r>
              <w:rPr>
                <w:rFonts w:hint="eastAsia" w:ascii="方正仿宋_GBK" w:hAnsi="方正仿宋_GBK" w:eastAsia="方正仿宋_GBK" w:cs="方正仿宋_GBK"/>
                <w:b/>
                <w:bCs/>
                <w:color w:val="auto"/>
                <w:sz w:val="28"/>
                <w:szCs w:val="28"/>
                <w:highlight w:val="none"/>
                <w:lang w:val="en-US" w:eastAsia="zh-CN"/>
              </w:rPr>
              <w:t>4：“十四五”期间</w:t>
            </w:r>
            <w:r>
              <w:rPr>
                <w:rFonts w:hint="eastAsia" w:ascii="方正仿宋_GBK" w:hAnsi="方正仿宋_GBK" w:eastAsia="方正仿宋_GBK" w:cs="方正仿宋_GBK"/>
                <w:b/>
                <w:bCs/>
                <w:color w:val="auto"/>
                <w:sz w:val="28"/>
                <w:szCs w:val="28"/>
                <w:highlight w:val="none"/>
                <w:lang w:eastAsia="zh-CN"/>
              </w:rPr>
              <w:t>鹤山</w:t>
            </w:r>
            <w:r>
              <w:rPr>
                <w:rFonts w:hint="eastAsia" w:ascii="方正仿宋_GBK" w:hAnsi="方正仿宋_GBK" w:eastAsia="方正仿宋_GBK" w:cs="方正仿宋_GBK"/>
                <w:b/>
                <w:bCs/>
                <w:color w:val="auto"/>
                <w:sz w:val="28"/>
                <w:szCs w:val="28"/>
                <w:highlight w:val="none"/>
              </w:rPr>
              <w:t>市</w:t>
            </w:r>
            <w:r>
              <w:rPr>
                <w:rFonts w:hint="eastAsia" w:ascii="方正仿宋_GBK" w:hAnsi="方正仿宋_GBK" w:eastAsia="方正仿宋_GBK" w:cs="方正仿宋_GBK"/>
                <w:b/>
                <w:bCs/>
                <w:color w:val="auto"/>
                <w:sz w:val="28"/>
                <w:szCs w:val="28"/>
                <w:highlight w:val="none"/>
                <w:lang w:eastAsia="zh-CN"/>
              </w:rPr>
              <w:t>公办</w:t>
            </w:r>
            <w:r>
              <w:rPr>
                <w:rFonts w:hint="eastAsia" w:ascii="方正仿宋_GBK" w:hAnsi="方正仿宋_GBK" w:eastAsia="方正仿宋_GBK" w:cs="方正仿宋_GBK"/>
                <w:b/>
                <w:bCs/>
                <w:color w:val="auto"/>
                <w:sz w:val="28"/>
                <w:szCs w:val="28"/>
                <w:highlight w:val="none"/>
              </w:rPr>
              <w:t>养老机构</w:t>
            </w:r>
            <w:r>
              <w:rPr>
                <w:rFonts w:hint="eastAsia" w:ascii="方正仿宋_GBK" w:hAnsi="方正仿宋_GBK" w:eastAsia="方正仿宋_GBK" w:cs="方正仿宋_GBK"/>
                <w:b/>
                <w:bCs/>
                <w:color w:val="auto"/>
                <w:sz w:val="28"/>
                <w:szCs w:val="28"/>
                <w:highlight w:val="none"/>
                <w:lang w:eastAsia="zh-CN"/>
              </w:rPr>
              <w:t>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t>名称</w:t>
            </w:r>
          </w:p>
        </w:tc>
        <w:tc>
          <w:tcPr>
            <w:tcW w:w="1575" w:type="dxa"/>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t>建设目标</w:t>
            </w:r>
          </w:p>
        </w:tc>
        <w:tc>
          <w:tcPr>
            <w:tcW w:w="2723" w:type="dxa"/>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t>建设内容</w:t>
            </w:r>
          </w:p>
        </w:tc>
        <w:tc>
          <w:tcPr>
            <w:tcW w:w="2092" w:type="dxa"/>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pPr>
            <w:r>
              <w:rPr>
                <w:rFonts w:hint="eastAsia" w:ascii="方正仿宋_GBK" w:hAnsi="方正仿宋_GBK" w:eastAsia="方正仿宋_GBK" w:cs="方正仿宋_GBK"/>
                <w:color w:val="auto"/>
                <w:sz w:val="28"/>
                <w:szCs w:val="28"/>
                <w:highlight w:val="none"/>
              </w:rPr>
              <w:t>鹤山市社会福利院</w:t>
            </w:r>
          </w:p>
        </w:tc>
        <w:tc>
          <w:tcPr>
            <w:tcW w:w="157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lang w:val="en-US" w:eastAsia="zh-CN" w:bidi="ar"/>
              </w:rPr>
              <w:t>三星级县级供养服务设施</w:t>
            </w:r>
          </w:p>
        </w:tc>
        <w:tc>
          <w:tcPr>
            <w:tcW w:w="2723" w:type="dxa"/>
            <w:vAlign w:val="center"/>
          </w:tcPr>
          <w:p>
            <w:pPr>
              <w:keepNext w:val="0"/>
              <w:keepLines w:val="0"/>
              <w:pageBreakBefore w:val="0"/>
              <w:widowControl w:val="0"/>
              <w:kinsoku/>
              <w:wordWrap/>
              <w:overflowPunct/>
              <w:topLinePunct w:val="0"/>
              <w:autoSpaceDE/>
              <w:autoSpaceDN/>
              <w:bidi w:val="0"/>
              <w:spacing w:line="560" w:lineRule="exact"/>
              <w:ind w:firstLine="560" w:firstLineChars="200"/>
              <w:jc w:val="both"/>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lang w:val="en-US" w:eastAsia="zh-CN" w:bidi="ar"/>
              </w:rPr>
              <w:t>增强失能、部分失能特困人员照护能力；以广东省三星级养老机构为标准进行改造。</w:t>
            </w:r>
          </w:p>
        </w:tc>
        <w:tc>
          <w:tcPr>
            <w:tcW w:w="2092" w:type="dxa"/>
            <w:vAlign w:val="center"/>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rPr>
                <w:rFonts w:hint="default" w:ascii="方正仿宋_GBK" w:hAnsi="方正仿宋_GBK" w:eastAsia="方正仿宋_GBK" w:cs="方正仿宋_GBK"/>
                <w:i w:val="0"/>
                <w:caps w:val="0"/>
                <w:color w:val="auto"/>
                <w:spacing w:val="0"/>
                <w:kern w:val="0"/>
                <w:sz w:val="28"/>
                <w:szCs w:val="28"/>
                <w:highlight w:val="none"/>
                <w:vertAlign w:val="baseli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31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雅瑶镇敬老院</w:t>
            </w:r>
          </w:p>
        </w:tc>
        <w:tc>
          <w:tcPr>
            <w:tcW w:w="1575" w:type="dxa"/>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rPr>
                <w:rFonts w:hint="eastAsia" w:ascii="方正仿宋_GBK" w:hAnsi="方正仿宋_GBK" w:eastAsia="方正仿宋_GBK" w:cs="方正仿宋_GBK"/>
                <w:i w:val="0"/>
                <w:caps w:val="0"/>
                <w:color w:val="auto"/>
                <w:spacing w:val="0"/>
                <w:kern w:val="0"/>
                <w:sz w:val="28"/>
                <w:szCs w:val="28"/>
                <w:highlight w:val="no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lang w:val="en-US" w:eastAsia="zh-CN" w:bidi="ar"/>
              </w:rPr>
              <w:t>区域性养老服务中心</w:t>
            </w:r>
          </w:p>
        </w:tc>
        <w:tc>
          <w:tcPr>
            <w:tcW w:w="2723" w:type="dxa"/>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rPr>
                <w:rFonts w:hint="eastAsia" w:ascii="方正仿宋_GBK" w:hAnsi="方正仿宋_GBK" w:eastAsia="方正仿宋_GBK" w:cs="方正仿宋_GBK"/>
                <w:i w:val="0"/>
                <w:caps w:val="0"/>
                <w:color w:val="auto"/>
                <w:spacing w:val="0"/>
                <w:kern w:val="0"/>
                <w:sz w:val="28"/>
                <w:szCs w:val="28"/>
                <w:highlight w:val="no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lang w:val="en-US" w:eastAsia="zh-CN" w:bidi="ar"/>
              </w:rPr>
              <w:t>按照“环境优美、功能齐全、服务优质、管理完善”标准进行规划改造。</w:t>
            </w:r>
          </w:p>
        </w:tc>
        <w:tc>
          <w:tcPr>
            <w:tcW w:w="2092" w:type="dxa"/>
            <w:vAlign w:val="center"/>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rPr>
                <w:rFonts w:hint="default" w:ascii="方正仿宋_GBK" w:hAnsi="方正仿宋_GBK" w:eastAsia="方正仿宋_GBK" w:cs="方正仿宋_GBK"/>
                <w:i w:val="0"/>
                <w:caps w:val="0"/>
                <w:color w:val="auto"/>
                <w:spacing w:val="0"/>
                <w:kern w:val="0"/>
                <w:sz w:val="28"/>
                <w:szCs w:val="28"/>
                <w:highlight w:val="none"/>
                <w:vertAlign w:val="baseli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t>2022年（预期性）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双合镇</w:t>
            </w:r>
            <w:r>
              <w:rPr>
                <w:rFonts w:hint="eastAsia" w:ascii="方正仿宋_GBK" w:hAnsi="方正仿宋_GBK" w:eastAsia="方正仿宋_GBK" w:cs="方正仿宋_GBK"/>
                <w:color w:val="auto"/>
                <w:sz w:val="28"/>
                <w:szCs w:val="28"/>
                <w:highlight w:val="none"/>
                <w:lang w:eastAsia="zh-CN"/>
              </w:rPr>
              <w:t>卫生院康泰缘服务中心</w:t>
            </w:r>
          </w:p>
        </w:tc>
        <w:tc>
          <w:tcPr>
            <w:tcW w:w="1575" w:type="dxa"/>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rPr>
                <w:rFonts w:hint="eastAsia" w:ascii="方正仿宋_GBK" w:hAnsi="方正仿宋_GBK" w:eastAsia="方正仿宋_GBK" w:cs="方正仿宋_GBK"/>
                <w:i w:val="0"/>
                <w:caps w:val="0"/>
                <w:color w:val="auto"/>
                <w:spacing w:val="0"/>
                <w:kern w:val="0"/>
                <w:sz w:val="28"/>
                <w:szCs w:val="28"/>
                <w:highlight w:val="none"/>
                <w:lang w:val="en-US" w:eastAsia="zh-CN" w:bidi="ar"/>
              </w:rPr>
            </w:pPr>
          </w:p>
        </w:tc>
        <w:tc>
          <w:tcPr>
            <w:tcW w:w="2723" w:type="dxa"/>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方正仿宋_GBK" w:hAnsi="方正仿宋_GBK" w:eastAsia="方正仿宋_GBK" w:cs="方正仿宋_GBK"/>
                <w:i w:val="0"/>
                <w:caps w:val="0"/>
                <w:color w:val="auto"/>
                <w:spacing w:val="0"/>
                <w:kern w:val="0"/>
                <w:sz w:val="28"/>
                <w:szCs w:val="28"/>
                <w:highlight w:val="none"/>
                <w:lang w:val="en-US" w:eastAsia="zh-CN" w:bidi="ar"/>
              </w:rPr>
            </w:pPr>
          </w:p>
        </w:tc>
        <w:tc>
          <w:tcPr>
            <w:tcW w:w="2092" w:type="dxa"/>
            <w:vAlign w:val="center"/>
          </w:tcPr>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u w:val="none"/>
                <w:vertAlign w:val="baseline"/>
                <w:lang w:val="en-US" w:eastAsia="zh-CN" w:bidi="ar"/>
              </w:rPr>
              <w:t>2023年</w:t>
            </w:r>
            <w: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t>（预期性）</w:t>
            </w:r>
          </w:p>
        </w:tc>
      </w:tr>
    </w:tbl>
    <w:p>
      <w:pPr>
        <w:pStyle w:val="2"/>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方正仿宋_GBK" w:hAnsi="方正仿宋_GBK" w:eastAsia="方正仿宋_GBK" w:cs="方正仿宋_GBK"/>
          <w:i w:val="0"/>
          <w:caps w:val="0"/>
          <w:color w:val="auto"/>
          <w:spacing w:val="0"/>
          <w:kern w:val="0"/>
          <w:sz w:val="32"/>
          <w:szCs w:val="32"/>
          <w:highlight w:val="none"/>
          <w:lang w:val="en-US" w:eastAsia="zh-CN" w:bidi="ar"/>
        </w:rPr>
      </w:pPr>
      <w:bookmarkStart w:id="1" w:name="_Toc30698"/>
      <w:r>
        <w:rPr>
          <w:rStyle w:val="37"/>
          <w:rFonts w:hint="eastAsia" w:ascii="方正仿宋_GBK" w:hAnsi="方正仿宋_GBK" w:eastAsia="方正仿宋_GBK" w:cs="方正仿宋_GBK"/>
          <w:color w:val="auto"/>
          <w:kern w:val="0"/>
          <w:sz w:val="32"/>
          <w:szCs w:val="32"/>
          <w:highlight w:val="none"/>
          <w:lang w:val="en-US" w:eastAsia="zh-CN" w:bidi="ar"/>
        </w:rPr>
        <w:t>3.增强照护能力</w:t>
      </w:r>
      <w:bookmarkEnd w:id="1"/>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推进公办养老机构照护服务能力建设，提高护理型床位设置比例，到2022年底，县级特困人员供养服务机构护理型床位不低于70%，到2025年，全市养老机构护理型床位占比不低于55%。积极扶持发展以失智、失能老年人照护服务为主的养老机构。</w:t>
      </w:r>
    </w:p>
    <w:tbl>
      <w:tblPr>
        <w:tblStyle w:val="19"/>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2"/>
        <w:gridCol w:w="819"/>
        <w:gridCol w:w="854"/>
        <w:gridCol w:w="1046"/>
        <w:gridCol w:w="1172"/>
        <w:gridCol w:w="111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7" w:type="dxa"/>
            <w:gridSpan w:val="7"/>
            <w:vAlign w:val="center"/>
          </w:tcPr>
          <w:p>
            <w:pPr>
              <w:pageBreakBefore w:val="0"/>
              <w:kinsoku/>
              <w:wordWrap/>
              <w:overflowPunct/>
              <w:topLinePunct w:val="0"/>
              <w:autoSpaceDE/>
              <w:autoSpaceDN/>
              <w:bidi w:val="0"/>
              <w:snapToGrid w:val="0"/>
              <w:spacing w:line="560" w:lineRule="exact"/>
              <w:jc w:val="center"/>
              <w:rPr>
                <w:rFonts w:hint="eastAsia" w:ascii="方正仿宋_GBK" w:hAnsi="方正仿宋_GBK" w:eastAsia="方正仿宋_GBK" w:cs="方正仿宋_GBK"/>
                <w:i w:val="0"/>
                <w:caps w:val="0"/>
                <w:color w:val="auto"/>
                <w:spacing w:val="0"/>
                <w:kern w:val="0"/>
                <w:sz w:val="28"/>
                <w:szCs w:val="28"/>
                <w:highlight w:val="none"/>
                <w:lang w:val="en-US" w:eastAsia="zh-CN" w:bidi="ar"/>
              </w:rPr>
            </w:pPr>
            <w:r>
              <w:rPr>
                <w:rFonts w:hint="eastAsia" w:ascii="方正仿宋_GBK" w:hAnsi="方正仿宋_GBK" w:eastAsia="方正仿宋_GBK" w:cs="方正仿宋_GBK"/>
                <w:b/>
                <w:bCs/>
                <w:color w:val="auto"/>
                <w:sz w:val="28"/>
                <w:szCs w:val="28"/>
                <w:highlight w:val="none"/>
                <w:lang w:eastAsia="zh-CN"/>
              </w:rPr>
              <w:t>专栏</w:t>
            </w:r>
            <w:r>
              <w:rPr>
                <w:rFonts w:hint="eastAsia" w:ascii="方正仿宋_GBK" w:hAnsi="方正仿宋_GBK" w:eastAsia="方正仿宋_GBK" w:cs="方正仿宋_GBK"/>
                <w:b/>
                <w:bCs/>
                <w:color w:val="auto"/>
                <w:sz w:val="28"/>
                <w:szCs w:val="28"/>
                <w:highlight w:val="none"/>
                <w:lang w:val="en-US" w:eastAsia="zh-CN"/>
              </w:rPr>
              <w:t>5：“十四五”期间鹤山市养老机构护理型床位建设目标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机构名称</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机构性质</w:t>
            </w:r>
          </w:p>
        </w:tc>
        <w:tc>
          <w:tcPr>
            <w:tcW w:w="85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床位数</w:t>
            </w:r>
          </w:p>
        </w:tc>
        <w:tc>
          <w:tcPr>
            <w:tcW w:w="105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护理型床位</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caps w:val="0"/>
                <w:color w:val="auto"/>
                <w:spacing w:val="0"/>
                <w:kern w:val="0"/>
                <w:sz w:val="28"/>
                <w:szCs w:val="28"/>
                <w:highlight w:val="none"/>
                <w:lang w:val="en-US" w:eastAsia="zh-CN" w:bidi="ar"/>
              </w:rPr>
              <w:t>目前护理型床位占比</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i w:val="0"/>
                <w:caps w:val="0"/>
                <w:color w:val="auto"/>
                <w:spacing w:val="0"/>
                <w:kern w:val="0"/>
                <w:sz w:val="28"/>
                <w:szCs w:val="28"/>
                <w:highlight w:val="no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lang w:val="en-US" w:eastAsia="zh-CN" w:bidi="ar"/>
              </w:rPr>
              <w:t>护理型床位目标占比</w:t>
            </w:r>
          </w:p>
        </w:tc>
        <w:tc>
          <w:tcPr>
            <w:tcW w:w="1179"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i w:val="0"/>
                <w:caps w:val="0"/>
                <w:color w:val="auto"/>
                <w:spacing w:val="0"/>
                <w:kern w:val="0"/>
                <w:sz w:val="28"/>
                <w:szCs w:val="28"/>
                <w:highlight w:val="no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lang w:val="en-US" w:eastAsia="zh-CN" w:bidi="ar"/>
              </w:rPr>
              <w:t>需要增设护理型床位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鹤山市社会福利院</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公办</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85</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72</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84.71%</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70%</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龙口镇敬老院</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公建民营</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75</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30</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40.00%</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雅瑶镇敬老院</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公建民营</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200</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75</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37.50%</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沙坪</w:t>
            </w:r>
            <w:r>
              <w:rPr>
                <w:rFonts w:hint="eastAsia" w:ascii="方正仿宋_GBK" w:hAnsi="方正仿宋_GBK" w:eastAsia="方正仿宋_GBK" w:cs="方正仿宋_GBK"/>
                <w:color w:val="auto"/>
                <w:sz w:val="28"/>
                <w:szCs w:val="28"/>
                <w:highlight w:val="none"/>
                <w:lang w:eastAsia="zh-CN"/>
              </w:rPr>
              <w:t>街道</w:t>
            </w:r>
            <w:r>
              <w:rPr>
                <w:rFonts w:hint="eastAsia" w:ascii="方正仿宋_GBK" w:hAnsi="方正仿宋_GBK" w:eastAsia="方正仿宋_GBK" w:cs="方正仿宋_GBK"/>
                <w:color w:val="auto"/>
                <w:sz w:val="28"/>
                <w:szCs w:val="28"/>
                <w:highlight w:val="none"/>
              </w:rPr>
              <w:t>敬老院</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公建民营</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108</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30</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27.78%</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鹤城镇敬老院</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公建民营</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104</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40</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38.46%</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古劳镇敬老院（慈善安老院）</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公建民营</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88</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49</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55.68%</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桃源</w:t>
            </w:r>
            <w:r>
              <w:rPr>
                <w:rFonts w:hint="eastAsia" w:ascii="方正仿宋_GBK" w:hAnsi="方正仿宋_GBK" w:eastAsia="方正仿宋_GBK" w:cs="方正仿宋_GBK"/>
                <w:color w:val="auto"/>
                <w:sz w:val="28"/>
                <w:szCs w:val="28"/>
                <w:highlight w:val="none"/>
                <w:lang w:eastAsia="zh-CN"/>
              </w:rPr>
              <w:t>镇</w:t>
            </w:r>
            <w:r>
              <w:rPr>
                <w:rFonts w:hint="eastAsia" w:ascii="方正仿宋_GBK" w:hAnsi="方正仿宋_GBK" w:eastAsia="方正仿宋_GBK" w:cs="方正仿宋_GBK"/>
                <w:color w:val="auto"/>
                <w:sz w:val="28"/>
                <w:szCs w:val="28"/>
                <w:highlight w:val="none"/>
              </w:rPr>
              <w:t>敬老院</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公办</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44</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12</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27.27%</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址山镇敬老院</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公办</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33</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14</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42.42%</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双合镇</w:t>
            </w:r>
            <w:r>
              <w:rPr>
                <w:rFonts w:hint="eastAsia" w:ascii="方正仿宋_GBK" w:hAnsi="方正仿宋_GBK" w:eastAsia="方正仿宋_GBK" w:cs="方正仿宋_GBK"/>
                <w:color w:val="auto"/>
                <w:sz w:val="28"/>
                <w:szCs w:val="28"/>
                <w:highlight w:val="none"/>
                <w:lang w:eastAsia="zh-CN"/>
              </w:rPr>
              <w:t>敬老院</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公办</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27</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0</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0.00%</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共和镇敬老院</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公办</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80</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30</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37.50%</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宅梧镇敬老院</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公办</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30</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10</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33.33%</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沙坪街道卫生院养老服务中心</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公办</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200</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200</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100.00%</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雁鸣湖畔养老养生公寓</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民办</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288</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288</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100.00%</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幸福寿星安老之家</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民办</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309</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100</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32.36%</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双合镇卫生院康泰缘服务中心</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公办</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70</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70</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100.00%</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共和镇卫生院</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公办</w:t>
            </w: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66</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66</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100.00%</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55%</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合计</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eastAsia="zh-CN"/>
              </w:rPr>
            </w:pPr>
          </w:p>
        </w:tc>
        <w:tc>
          <w:tcPr>
            <w:tcW w:w="855"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1807</w:t>
            </w:r>
          </w:p>
        </w:tc>
        <w:tc>
          <w:tcPr>
            <w:tcW w:w="105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1086</w:t>
            </w:r>
          </w:p>
        </w:tc>
        <w:tc>
          <w:tcPr>
            <w:tcW w:w="1110"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60.10%</w:t>
            </w:r>
          </w:p>
        </w:tc>
        <w:tc>
          <w:tcPr>
            <w:tcW w:w="112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w:t>
            </w:r>
          </w:p>
        </w:tc>
        <w:tc>
          <w:tcPr>
            <w:tcW w:w="1179" w:type="dxa"/>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w:t>
            </w:r>
          </w:p>
        </w:tc>
      </w:tr>
    </w:tbl>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baseline"/>
        <w:rPr>
          <w:rFonts w:hint="eastAsia" w:ascii="方正仿宋_GBK" w:hAnsi="方正仿宋_GBK" w:eastAsia="方正仿宋_GBK" w:cs="方正仿宋_GBK"/>
          <w:i w:val="0"/>
          <w:caps w:val="0"/>
          <w:color w:val="auto"/>
          <w:spacing w:val="0"/>
          <w:kern w:val="0"/>
          <w:sz w:val="32"/>
          <w:szCs w:val="32"/>
          <w:highlight w:val="none"/>
          <w:lang w:val="en-US" w:eastAsia="zh-CN" w:bidi="ar"/>
        </w:rPr>
      </w:pPr>
      <w:bookmarkStart w:id="2" w:name="_Toc20266"/>
      <w:r>
        <w:rPr>
          <w:rFonts w:hint="eastAsia" w:ascii="方正仿宋_GBK" w:hAnsi="方正仿宋_GBK" w:eastAsia="方正仿宋_GBK" w:cs="方正仿宋_GBK"/>
          <w:b/>
          <w:bCs/>
          <w:color w:val="auto"/>
          <w:sz w:val="32"/>
          <w:szCs w:val="32"/>
          <w:highlight w:val="none"/>
          <w:lang w:val="en-US" w:eastAsia="zh-CN"/>
        </w:rPr>
        <w:t>4</w:t>
      </w:r>
      <w:r>
        <w:rPr>
          <w:rStyle w:val="37"/>
          <w:rFonts w:hint="eastAsia" w:ascii="方正仿宋_GBK" w:hAnsi="方正仿宋_GBK" w:eastAsia="方正仿宋_GBK" w:cs="方正仿宋_GBK"/>
          <w:b/>
          <w:bCs/>
          <w:color w:val="auto"/>
          <w:kern w:val="0"/>
          <w:sz w:val="32"/>
          <w:szCs w:val="32"/>
          <w:highlight w:val="none"/>
          <w:lang w:val="en-US" w:eastAsia="zh-CN" w:bidi="ar"/>
        </w:rPr>
        <w:t>.深化</w:t>
      </w:r>
      <w:r>
        <w:rPr>
          <w:rStyle w:val="37"/>
          <w:rFonts w:hint="eastAsia" w:ascii="方正仿宋_GBK" w:hAnsi="方正仿宋_GBK" w:eastAsia="方正仿宋_GBK" w:cs="方正仿宋_GBK"/>
          <w:color w:val="auto"/>
          <w:kern w:val="0"/>
          <w:sz w:val="32"/>
          <w:szCs w:val="32"/>
          <w:highlight w:val="none"/>
          <w:lang w:val="en-US" w:eastAsia="zh-CN" w:bidi="ar"/>
        </w:rPr>
        <w:t>公办养老机构改革。</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坚持公办养老机构公益属性，探索具备条件的公办养老机构实行委托经营、资产租赁或改制为国有养老服务企业等模式，在充分发挥兜底保障作用的基础上，面向社会提供普遍适用的养老服务。总结公建民营改革试点经验，完善委托经营等养老机构管理制度办法，采取多种方式支持公办养老机构改革发展。</w:t>
      </w:r>
    </w:p>
    <w:p>
      <w:pPr>
        <w:pStyle w:val="2"/>
        <w:pageBreakBefore w:val="0"/>
        <w:kinsoku/>
        <w:wordWrap/>
        <w:overflowPunct/>
        <w:topLinePunct w:val="0"/>
        <w:autoSpaceDE/>
        <w:autoSpaceDN/>
        <w:bidi w:val="0"/>
        <w:adjustRightInd w:val="0"/>
        <w:snapToGrid w:val="0"/>
        <w:spacing w:line="560" w:lineRule="exact"/>
        <w:ind w:firstLine="634" w:firstLineChars="0"/>
        <w:rPr>
          <w:rFonts w:hint="eastAsia" w:ascii="方正楷体_GBK" w:hAnsi="方正楷体_GBK" w:eastAsia="方正楷体_GBK" w:cs="方正楷体_GBK"/>
          <w:b/>
          <w:bCs/>
          <w:i w:val="0"/>
          <w:caps w:val="0"/>
          <w:color w:val="auto"/>
          <w:spacing w:val="0"/>
          <w:kern w:val="0"/>
          <w:sz w:val="32"/>
          <w:szCs w:val="32"/>
          <w:highlight w:val="none"/>
          <w:lang w:val="en-US" w:eastAsia="zh-CN" w:bidi="ar"/>
        </w:rPr>
      </w:pPr>
      <w:r>
        <w:rPr>
          <w:rStyle w:val="37"/>
          <w:rFonts w:hint="eastAsia" w:ascii="方正仿宋_GBK" w:hAnsi="方正仿宋_GBK" w:eastAsia="方正仿宋_GBK" w:cs="方正仿宋_GBK"/>
          <w:color w:val="auto"/>
          <w:kern w:val="0"/>
          <w:sz w:val="32"/>
          <w:szCs w:val="32"/>
          <w:highlight w:val="none"/>
          <w:lang w:val="en-US" w:eastAsia="zh-CN" w:bidi="ar"/>
        </w:rPr>
        <w:t>5.</w:t>
      </w:r>
      <w:bookmarkEnd w:id="2"/>
      <w:r>
        <w:rPr>
          <w:rStyle w:val="37"/>
          <w:rFonts w:hint="eastAsia" w:ascii="方正仿宋_GBK" w:hAnsi="方正仿宋_GBK" w:eastAsia="方正仿宋_GBK" w:cs="方正仿宋_GBK"/>
          <w:color w:val="auto"/>
          <w:kern w:val="0"/>
          <w:sz w:val="32"/>
          <w:szCs w:val="32"/>
          <w:highlight w:val="none"/>
          <w:lang w:val="en-US" w:eastAsia="zh-CN" w:bidi="ar"/>
        </w:rPr>
        <w:t>引导扶持社会办养老机构发展</w:t>
      </w:r>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加强养老服务信息公开和政策指引，及时更新公布政策措施、供需信息及投资指南。开展城企协同推进养老服务发展行动计划，支持引导社会力量发展面向中低收入群体的普惠型养老服务机构，规范引导社会力量根据市场需要适度有序发展面向中高收入群体的中高端养老机构。引导企业、公益慈善组织及其他社会力量参与养老服务设施建设、运行、管理。落实社会办养老机构扶持优惠政策，探索以奖代补形式推动民办养老机构品牌化、连锁化、标准化发展。促进养老机构提升服务质量和管理效能，推动养老机构运营规范化、专业化、标准化发展。建立申报养老机构星级评定长效机制，积极营造评星舆论环境，强化巩固提升，发挥星级养老机构示范引领作用，推进养老机构高质量发展。</w:t>
      </w:r>
    </w:p>
    <w:p>
      <w:pPr>
        <w:pStyle w:val="5"/>
        <w:keepNext/>
        <w:keepLines/>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rPr>
          <w:rFonts w:hint="eastAsia" w:ascii="方正楷体_GBK" w:hAnsi="方正楷体_GBK" w:eastAsia="方正楷体_GBK" w:cs="方正楷体_GBK"/>
          <w:b/>
          <w:bCs/>
          <w:i w:val="0"/>
          <w:caps w:val="0"/>
          <w:color w:val="auto"/>
          <w:spacing w:val="0"/>
          <w:kern w:val="0"/>
          <w:sz w:val="32"/>
          <w:szCs w:val="32"/>
          <w:highlight w:val="none"/>
          <w:lang w:val="en-US" w:eastAsia="zh-CN" w:bidi="ar"/>
        </w:rPr>
      </w:pPr>
      <w:r>
        <w:rPr>
          <w:rFonts w:hint="eastAsia" w:ascii="方正楷体_GBK" w:hAnsi="方正楷体_GBK" w:eastAsia="方正楷体_GBK" w:cs="方正楷体_GBK"/>
          <w:b/>
          <w:bCs/>
          <w:i w:val="0"/>
          <w:caps w:val="0"/>
          <w:color w:val="auto"/>
          <w:spacing w:val="0"/>
          <w:kern w:val="0"/>
          <w:sz w:val="32"/>
          <w:szCs w:val="32"/>
          <w:highlight w:val="none"/>
          <w:lang w:val="en-US" w:eastAsia="zh-CN" w:bidi="ar"/>
        </w:rPr>
        <w:t>三、全力推动居家社区养老服务扩容提质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Style w:val="37"/>
          <w:rFonts w:hint="eastAsia" w:ascii="方正仿宋_GBK" w:hAnsi="方正仿宋_GBK" w:eastAsia="方正仿宋_GBK" w:cs="方正仿宋_GBK"/>
          <w:b w:val="0"/>
          <w:bCs/>
          <w:color w:val="auto"/>
          <w:sz w:val="32"/>
          <w:szCs w:val="32"/>
          <w:highlight w:val="none"/>
          <w:lang w:val="en-US" w:eastAsia="zh-CN"/>
        </w:rPr>
      </w:pPr>
      <w:r>
        <w:rPr>
          <w:rStyle w:val="37"/>
          <w:rFonts w:hint="eastAsia" w:ascii="方正仿宋_GBK" w:hAnsi="方正仿宋_GBK" w:eastAsia="方正仿宋_GBK" w:cs="方正仿宋_GBK"/>
          <w:b w:val="0"/>
          <w:bCs/>
          <w:color w:val="auto"/>
          <w:sz w:val="32"/>
          <w:szCs w:val="32"/>
          <w:highlight w:val="none"/>
          <w:lang w:val="en-US" w:eastAsia="zh-CN"/>
        </w:rPr>
        <w:t>加强镇（街）养老服务设施建设和社区养老服务设施配建，推动形成一批具有示范带动作用的养老服务综合体。加快发展社区嵌入式养老服务机构或日间照料中心，推进多元化养老服务模式，因地制宜发展多种形式的养老服务项目，打造具有鹤山特色的居家社区养老服务体系。探索居家社区养老服务规模化、连锁化运营。到2025年基本形成“社区15分钟居家养老服务圈”。</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Style w:val="37"/>
          <w:rFonts w:hint="eastAsia" w:ascii="方正仿宋_GBK" w:hAnsi="方正仿宋_GBK" w:eastAsia="方正仿宋_GBK" w:cs="方正仿宋_GBK"/>
          <w:color w:val="auto"/>
          <w:sz w:val="32"/>
          <w:szCs w:val="32"/>
          <w:highlight w:val="none"/>
        </w:rPr>
      </w:pPr>
      <w:r>
        <w:rPr>
          <w:rStyle w:val="37"/>
          <w:rFonts w:hint="eastAsia" w:ascii="方正仿宋_GBK" w:hAnsi="方正仿宋_GBK" w:eastAsia="方正仿宋_GBK" w:cs="方正仿宋_GBK"/>
          <w:b/>
          <w:bCs w:val="0"/>
          <w:color w:val="auto"/>
          <w:sz w:val="32"/>
          <w:szCs w:val="32"/>
          <w:highlight w:val="none"/>
          <w:lang w:val="en-US" w:eastAsia="zh-CN"/>
        </w:rPr>
        <w:t>6.</w:t>
      </w:r>
      <w:r>
        <w:rPr>
          <w:rStyle w:val="37"/>
          <w:rFonts w:hint="eastAsia" w:ascii="方正仿宋_GBK" w:hAnsi="方正仿宋_GBK" w:eastAsia="方正仿宋_GBK" w:cs="方正仿宋_GBK"/>
          <w:b/>
          <w:bCs w:val="0"/>
          <w:color w:val="auto"/>
          <w:sz w:val="32"/>
          <w:szCs w:val="32"/>
          <w:highlight w:val="none"/>
        </w:rPr>
        <w:t>发挥家庭养老基础功能。</w:t>
      </w:r>
      <w:r>
        <w:rPr>
          <w:rStyle w:val="37"/>
          <w:rFonts w:hint="eastAsia" w:ascii="方正仿宋_GBK" w:hAnsi="方正仿宋_GBK" w:eastAsia="方正仿宋_GBK" w:cs="方正仿宋_GBK"/>
          <w:b w:val="0"/>
          <w:bCs/>
          <w:color w:val="auto"/>
          <w:sz w:val="32"/>
          <w:szCs w:val="32"/>
          <w:highlight w:val="none"/>
        </w:rPr>
        <w:t>不断夯实家庭养老基础地位，支持养老服务机构</w:t>
      </w:r>
      <w:r>
        <w:rPr>
          <w:rStyle w:val="37"/>
          <w:rFonts w:hint="eastAsia" w:ascii="方正仿宋_GBK" w:hAnsi="方正仿宋_GBK" w:eastAsia="方正仿宋_GBK" w:cs="方正仿宋_GBK"/>
          <w:b w:val="0"/>
          <w:bCs/>
          <w:color w:val="auto"/>
          <w:sz w:val="32"/>
          <w:szCs w:val="32"/>
          <w:highlight w:val="none"/>
          <w:lang w:eastAsia="zh-CN"/>
        </w:rPr>
        <w:t>、家政机构等机构</w:t>
      </w:r>
      <w:r>
        <w:rPr>
          <w:rStyle w:val="37"/>
          <w:rFonts w:hint="eastAsia" w:ascii="方正仿宋_GBK" w:hAnsi="方正仿宋_GBK" w:eastAsia="方正仿宋_GBK" w:cs="方正仿宋_GBK"/>
          <w:b w:val="0"/>
          <w:bCs/>
          <w:color w:val="auto"/>
          <w:sz w:val="32"/>
          <w:szCs w:val="32"/>
          <w:highlight w:val="none"/>
        </w:rPr>
        <w:t>将专业化服务延伸至家庭，向居家老年人提供居家上门、生活照料、家务料理、康复护理、培训支持、精神慰藉等服务。大力发展家庭照护床位，支持养老机构运营家庭养老床位并提供专业服务。鼓励老年人培养积极心态，开展社会交往，加强健身运动，提升自我保健康复能力。</w:t>
      </w:r>
      <w:r>
        <w:rPr>
          <w:rFonts w:hint="eastAsia" w:ascii="方正仿宋_GBK" w:hAnsi="方正仿宋_GBK" w:eastAsia="方正仿宋_GBK" w:cs="方正仿宋_GBK"/>
          <w:i w:val="0"/>
          <w:caps w:val="0"/>
          <w:color w:val="auto"/>
          <w:spacing w:val="0"/>
          <w:sz w:val="32"/>
          <w:szCs w:val="32"/>
          <w:highlight w:val="none"/>
        </w:rPr>
        <w:t>对照护失能失智老年人的家庭成员开展护理技能培训</w:t>
      </w:r>
      <w:r>
        <w:rPr>
          <w:rFonts w:hint="eastAsia" w:ascii="方正仿宋_GBK" w:hAnsi="方正仿宋_GBK" w:eastAsia="方正仿宋_GBK" w:cs="方正仿宋_GBK"/>
          <w:i w:val="0"/>
          <w:caps w:val="0"/>
          <w:color w:val="auto"/>
          <w:spacing w:val="0"/>
          <w:sz w:val="32"/>
          <w:szCs w:val="32"/>
          <w:highlight w:val="none"/>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方正仿宋_GBK" w:hAnsi="方正仿宋_GBK" w:eastAsia="方正仿宋_GBK" w:cs="方正仿宋_GBK"/>
          <w:i w:val="0"/>
          <w:caps w:val="0"/>
          <w:color w:val="auto"/>
          <w:spacing w:val="0"/>
          <w:sz w:val="32"/>
          <w:szCs w:val="32"/>
          <w:highlight w:val="none"/>
        </w:rPr>
      </w:pPr>
      <w:r>
        <w:rPr>
          <w:rStyle w:val="37"/>
          <w:rFonts w:hint="eastAsia" w:ascii="方正仿宋_GBK" w:hAnsi="方正仿宋_GBK" w:eastAsia="方正仿宋_GBK" w:cs="方正仿宋_GBK"/>
          <w:color w:val="auto"/>
          <w:sz w:val="32"/>
          <w:szCs w:val="32"/>
          <w:highlight w:val="none"/>
          <w:lang w:val="en-US" w:eastAsia="zh-CN"/>
        </w:rPr>
        <w:t>7.</w:t>
      </w:r>
      <w:r>
        <w:rPr>
          <w:rStyle w:val="37"/>
          <w:rFonts w:hint="eastAsia" w:ascii="方正仿宋_GBK" w:hAnsi="方正仿宋_GBK" w:eastAsia="方正仿宋_GBK" w:cs="方正仿宋_GBK"/>
          <w:color w:val="auto"/>
          <w:sz w:val="32"/>
          <w:szCs w:val="32"/>
          <w:highlight w:val="none"/>
        </w:rPr>
        <w:t>完善居家社区服务设施</w:t>
      </w:r>
      <w:r>
        <w:rPr>
          <w:rStyle w:val="37"/>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i w:val="0"/>
          <w:caps w:val="0"/>
          <w:color w:val="auto"/>
          <w:spacing w:val="0"/>
          <w:sz w:val="32"/>
          <w:szCs w:val="32"/>
          <w:highlight w:val="none"/>
          <w:lang w:eastAsia="zh-CN"/>
        </w:rPr>
        <w:t>严格配套建设社区居家养老服务设施。建立健全养老服务设施规划和用地保障政策，实现养老服务设施布局专项规划与国土空间总体规划和详细规划有效衔接。制定整合利用闲置资源建设养老服务设施优惠政策措施，盘活整合闲置资产用于建设养老服务设施。</w:t>
      </w:r>
      <w:r>
        <w:rPr>
          <w:rFonts w:hint="eastAsia" w:ascii="方正仿宋_GBK" w:hAnsi="方正仿宋_GBK" w:eastAsia="方正仿宋_GBK" w:cs="方正仿宋_GBK"/>
          <w:i w:val="0"/>
          <w:caps w:val="0"/>
          <w:color w:val="auto"/>
          <w:spacing w:val="0"/>
          <w:sz w:val="32"/>
          <w:szCs w:val="32"/>
          <w:highlight w:val="none"/>
        </w:rPr>
        <w:t>居家社区养老服务设施纳入城乡社区配套用房建设范围，</w:t>
      </w:r>
      <w:r>
        <w:rPr>
          <w:rFonts w:hint="eastAsia" w:ascii="方正仿宋_GBK" w:hAnsi="方正仿宋_GBK" w:eastAsia="方正仿宋_GBK" w:cs="方正仿宋_GBK"/>
          <w:i w:val="0"/>
          <w:caps w:val="0"/>
          <w:color w:val="auto"/>
          <w:spacing w:val="0"/>
          <w:sz w:val="32"/>
          <w:szCs w:val="32"/>
          <w:highlight w:val="none"/>
          <w:lang w:val="en-US" w:eastAsia="zh-CN"/>
        </w:rPr>
        <w:t>到2025年，新建城区、新建居住（小）区按照每百户不低于20平方米的标准配套建设养老服务设施。旧城区和已建住宅小区按照每百户不低于15平方米的标准配置补齐养老服务设施。</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方正仿宋_GBK" w:hAnsi="方正仿宋_GBK" w:eastAsia="方正仿宋_GBK" w:cs="方正仿宋_GBK"/>
          <w:i w:val="0"/>
          <w:caps w:val="0"/>
          <w:color w:val="auto"/>
          <w:spacing w:val="0"/>
          <w:sz w:val="32"/>
          <w:szCs w:val="32"/>
          <w:highlight w:val="none"/>
        </w:rPr>
      </w:pPr>
      <w:r>
        <w:rPr>
          <w:rFonts w:hint="eastAsia" w:ascii="方正仿宋_GBK" w:hAnsi="方正仿宋_GBK" w:eastAsia="方正仿宋_GBK" w:cs="方正仿宋_GBK"/>
          <w:i w:val="0"/>
          <w:caps w:val="0"/>
          <w:color w:val="auto"/>
          <w:spacing w:val="0"/>
          <w:sz w:val="32"/>
          <w:szCs w:val="32"/>
          <w:highlight w:val="none"/>
        </w:rPr>
        <w:t>实施</w:t>
      </w:r>
      <w:r>
        <w:rPr>
          <w:rFonts w:hint="eastAsia" w:ascii="方正仿宋_GBK" w:hAnsi="方正仿宋_GBK" w:eastAsia="方正仿宋_GBK" w:cs="方正仿宋_GBK"/>
          <w:i w:val="0"/>
          <w:caps w:val="0"/>
          <w:color w:val="auto"/>
          <w:spacing w:val="0"/>
          <w:sz w:val="32"/>
          <w:szCs w:val="32"/>
          <w:highlight w:val="none"/>
          <w:lang w:eastAsia="zh-CN"/>
        </w:rPr>
        <w:t>老年人居家</w:t>
      </w:r>
      <w:r>
        <w:rPr>
          <w:rFonts w:hint="eastAsia" w:ascii="方正仿宋_GBK" w:hAnsi="方正仿宋_GBK" w:eastAsia="方正仿宋_GBK" w:cs="方正仿宋_GBK"/>
          <w:i w:val="0"/>
          <w:caps w:val="0"/>
          <w:color w:val="auto"/>
          <w:spacing w:val="0"/>
          <w:sz w:val="32"/>
          <w:szCs w:val="32"/>
          <w:highlight w:val="none"/>
        </w:rPr>
        <w:t>适老化改造</w:t>
      </w:r>
      <w:r>
        <w:rPr>
          <w:rFonts w:hint="eastAsia" w:ascii="方正仿宋_GBK" w:hAnsi="方正仿宋_GBK" w:eastAsia="方正仿宋_GBK" w:cs="方正仿宋_GBK"/>
          <w:i w:val="0"/>
          <w:caps w:val="0"/>
          <w:color w:val="auto"/>
          <w:spacing w:val="0"/>
          <w:sz w:val="32"/>
          <w:szCs w:val="32"/>
          <w:highlight w:val="none"/>
          <w:lang w:eastAsia="zh-CN"/>
        </w:rPr>
        <w:t>。通过专业化服务和市场化运作，采取施工改造、设施配置、辅具适配等方式实施老年人居家适老化改造，改善老年人居家生活照护条件，增强居家生活设施安全性、便利性和舒适性，提升居家养老服务质量。</w:t>
      </w:r>
      <w:r>
        <w:rPr>
          <w:rFonts w:hint="eastAsia" w:ascii="方正仿宋_GBK" w:hAnsi="方正仿宋_GBK" w:eastAsia="方正仿宋_GBK" w:cs="方正仿宋_GBK"/>
          <w:i w:val="0"/>
          <w:caps w:val="0"/>
          <w:color w:val="auto"/>
          <w:spacing w:val="0"/>
          <w:sz w:val="32"/>
          <w:szCs w:val="32"/>
          <w:highlight w:val="none"/>
        </w:rPr>
        <w:t>20</w:t>
      </w:r>
      <w:r>
        <w:rPr>
          <w:rFonts w:hint="eastAsia" w:ascii="方正仿宋_GBK" w:hAnsi="方正仿宋_GBK" w:eastAsia="方正仿宋_GBK" w:cs="方正仿宋_GBK"/>
          <w:i w:val="0"/>
          <w:caps w:val="0"/>
          <w:color w:val="auto"/>
          <w:spacing w:val="0"/>
          <w:sz w:val="32"/>
          <w:szCs w:val="32"/>
          <w:highlight w:val="none"/>
          <w:lang w:val="en-US" w:eastAsia="zh-CN"/>
        </w:rPr>
        <w:t>23</w:t>
      </w:r>
      <w:r>
        <w:rPr>
          <w:rFonts w:hint="eastAsia" w:ascii="方正仿宋_GBK" w:hAnsi="方正仿宋_GBK" w:eastAsia="方正仿宋_GBK" w:cs="方正仿宋_GBK"/>
          <w:i w:val="0"/>
          <w:caps w:val="0"/>
          <w:color w:val="auto"/>
          <w:spacing w:val="0"/>
          <w:sz w:val="32"/>
          <w:szCs w:val="32"/>
          <w:highlight w:val="none"/>
        </w:rPr>
        <w:t>年底前，</w:t>
      </w:r>
      <w:r>
        <w:rPr>
          <w:rFonts w:hint="eastAsia" w:ascii="方正仿宋_GBK" w:hAnsi="方正仿宋_GBK" w:eastAsia="方正仿宋_GBK" w:cs="方正仿宋_GBK"/>
          <w:i w:val="0"/>
          <w:caps w:val="0"/>
          <w:color w:val="auto"/>
          <w:spacing w:val="0"/>
          <w:sz w:val="32"/>
          <w:szCs w:val="32"/>
          <w:highlight w:val="none"/>
          <w:lang w:eastAsia="zh-CN"/>
        </w:rPr>
        <w:t>实现</w:t>
      </w:r>
      <w:r>
        <w:rPr>
          <w:rFonts w:hint="eastAsia" w:ascii="方正仿宋_GBK" w:hAnsi="方正仿宋_GBK" w:eastAsia="方正仿宋_GBK" w:cs="方正仿宋_GBK"/>
          <w:i w:val="0"/>
          <w:caps w:val="0"/>
          <w:color w:val="auto"/>
          <w:spacing w:val="0"/>
          <w:sz w:val="32"/>
          <w:szCs w:val="32"/>
          <w:highlight w:val="none"/>
        </w:rPr>
        <w:t>对本市户籍的纳入分散供养特困人员</w:t>
      </w:r>
      <w:r>
        <w:rPr>
          <w:rFonts w:hint="eastAsia" w:ascii="方正仿宋_GBK" w:hAnsi="方正仿宋_GBK" w:eastAsia="方正仿宋_GBK" w:cs="方正仿宋_GBK"/>
          <w:i w:val="0"/>
          <w:caps w:val="0"/>
          <w:color w:val="auto"/>
          <w:spacing w:val="0"/>
          <w:sz w:val="32"/>
          <w:szCs w:val="32"/>
          <w:highlight w:val="none"/>
          <w:lang w:eastAsia="zh-CN"/>
        </w:rPr>
        <w:t>、城乡最低生活保障对象</w:t>
      </w:r>
      <w:r>
        <w:rPr>
          <w:rFonts w:hint="eastAsia" w:ascii="方正仿宋_GBK" w:hAnsi="方正仿宋_GBK" w:eastAsia="方正仿宋_GBK" w:cs="方正仿宋_GBK"/>
          <w:i w:val="0"/>
          <w:caps w:val="0"/>
          <w:color w:val="auto"/>
          <w:spacing w:val="0"/>
          <w:sz w:val="32"/>
          <w:szCs w:val="32"/>
          <w:highlight w:val="none"/>
        </w:rPr>
        <w:t>和原建档立卡贫困人口范围的高龄、失能、残疾老年人家庭实施适老化家居环境改造</w:t>
      </w:r>
      <w:r>
        <w:rPr>
          <w:rFonts w:hint="eastAsia" w:ascii="方正仿宋_GBK" w:hAnsi="方正仿宋_GBK" w:eastAsia="方正仿宋_GBK" w:cs="方正仿宋_GBK"/>
          <w:i w:val="0"/>
          <w:caps w:val="0"/>
          <w:color w:val="auto"/>
          <w:spacing w:val="0"/>
          <w:sz w:val="32"/>
          <w:szCs w:val="32"/>
          <w:highlight w:val="none"/>
          <w:lang w:eastAsia="zh-CN"/>
        </w:rPr>
        <w:t>全覆盖</w:t>
      </w:r>
      <w:r>
        <w:rPr>
          <w:rFonts w:hint="eastAsia" w:ascii="方正仿宋_GBK" w:hAnsi="方正仿宋_GBK" w:eastAsia="方正仿宋_GBK" w:cs="方正仿宋_GBK"/>
          <w:i w:val="0"/>
          <w:caps w:val="0"/>
          <w:color w:val="auto"/>
          <w:spacing w:val="0"/>
          <w:sz w:val="32"/>
          <w:szCs w:val="32"/>
          <w:highlight w:val="none"/>
        </w:rPr>
        <w:t>，</w:t>
      </w:r>
      <w:r>
        <w:rPr>
          <w:rFonts w:hint="eastAsia" w:ascii="方正仿宋_GBK" w:hAnsi="方正仿宋_GBK" w:eastAsia="方正仿宋_GBK" w:cs="方正仿宋_GBK"/>
          <w:i w:val="0"/>
          <w:caps w:val="0"/>
          <w:color w:val="auto"/>
          <w:spacing w:val="0"/>
          <w:sz w:val="32"/>
          <w:szCs w:val="32"/>
          <w:highlight w:val="none"/>
          <w:lang w:eastAsia="zh-CN"/>
        </w:rPr>
        <w:t>积极</w:t>
      </w:r>
      <w:r>
        <w:rPr>
          <w:rFonts w:hint="eastAsia" w:ascii="方正仿宋_GBK" w:hAnsi="方正仿宋_GBK" w:eastAsia="方正仿宋_GBK" w:cs="方正仿宋_GBK"/>
          <w:i w:val="0"/>
          <w:caps w:val="0"/>
          <w:color w:val="auto"/>
          <w:spacing w:val="0"/>
          <w:sz w:val="32"/>
          <w:szCs w:val="32"/>
          <w:highlight w:val="none"/>
        </w:rPr>
        <w:t>引导社会家庭开展居家环境适老化改造。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方正仿宋_GBK" w:hAnsi="方正仿宋_GBK" w:eastAsia="方正仿宋_GBK" w:cs="方正仿宋_GBK"/>
          <w:i w:val="0"/>
          <w:caps w:val="0"/>
          <w:color w:val="auto"/>
          <w:spacing w:val="0"/>
          <w:sz w:val="32"/>
          <w:szCs w:val="32"/>
          <w:highlight w:val="none"/>
          <w:lang w:eastAsia="zh-CN"/>
        </w:rPr>
      </w:pPr>
      <w:r>
        <w:rPr>
          <w:rFonts w:hint="eastAsia" w:ascii="方正仿宋_GBK" w:hAnsi="方正仿宋_GBK" w:eastAsia="方正仿宋_GBK" w:cs="方正仿宋_GBK"/>
          <w:i w:val="0"/>
          <w:caps w:val="0"/>
          <w:color w:val="auto"/>
          <w:spacing w:val="0"/>
          <w:sz w:val="32"/>
          <w:szCs w:val="32"/>
          <w:highlight w:val="none"/>
          <w:lang w:eastAsia="zh-CN"/>
        </w:rPr>
        <w:t>健全信息网络。发挥江门市居家养老助残服务“平安通”项目在保障老年人居家生命安全、加强社区高龄独居老人与农村留守老年人定期巡防、防范化解重大安全风险等方面的积极作用，力争到 202</w:t>
      </w:r>
      <w:r>
        <w:rPr>
          <w:rFonts w:hint="eastAsia" w:ascii="方正仿宋_GBK" w:hAnsi="方正仿宋_GBK" w:eastAsia="方正仿宋_GBK" w:cs="方正仿宋_GBK"/>
          <w:i w:val="0"/>
          <w:caps w:val="0"/>
          <w:color w:val="auto"/>
          <w:spacing w:val="0"/>
          <w:sz w:val="32"/>
          <w:szCs w:val="32"/>
          <w:highlight w:val="none"/>
          <w:lang w:val="en-US" w:eastAsia="zh-CN"/>
        </w:rPr>
        <w:t>5</w:t>
      </w:r>
      <w:r>
        <w:rPr>
          <w:rFonts w:hint="eastAsia" w:ascii="方正仿宋_GBK" w:hAnsi="方正仿宋_GBK" w:eastAsia="方正仿宋_GBK" w:cs="方正仿宋_GBK"/>
          <w:i w:val="0"/>
          <w:caps w:val="0"/>
          <w:color w:val="auto"/>
          <w:spacing w:val="0"/>
          <w:sz w:val="32"/>
          <w:szCs w:val="32"/>
          <w:highlight w:val="none"/>
          <w:lang w:eastAsia="zh-CN"/>
        </w:rPr>
        <w:t>年底，实现政府资助对象应急救援网络全覆盖，为老年人提供紧急援助、生活照料、情感慰藉以及政策咨询等的专业化服务。</w:t>
      </w:r>
      <w:r>
        <w:rPr>
          <w:rFonts w:hint="eastAsia" w:ascii="方正仿宋_GBK" w:hAnsi="方正仿宋_GBK" w:eastAsia="方正仿宋_GBK" w:cs="方正仿宋_GBK"/>
          <w:sz w:val="32"/>
          <w:szCs w:val="32"/>
          <w:highlight w:val="none"/>
          <w:lang w:bidi="zh-CN"/>
        </w:rPr>
        <w:t>推进居家养老助残服务“平安通”平台提质扩面，发展“平安通”平台线上线下服务。建设“平安通1+7”服务中心，建立“平安通”平台与镇（街）、村（社区）居家养老服务站、养老机构联动机制，实现资源共享、服务对接、双向转介、数据动态管理，形成“线上”“线下”互动合力。</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方正仿宋_GBK" w:hAnsi="方正仿宋_GBK" w:eastAsia="方正仿宋_GBK" w:cs="方正仿宋_GBK"/>
          <w:b/>
          <w:bCs/>
          <w:i w:val="0"/>
          <w:caps w:val="0"/>
          <w:color w:val="auto"/>
          <w:spacing w:val="0"/>
          <w:sz w:val="32"/>
          <w:szCs w:val="32"/>
          <w:highlight w:val="none"/>
          <w:lang w:val="en-US" w:eastAsia="zh-CN"/>
        </w:rPr>
      </w:pPr>
      <w:r>
        <w:rPr>
          <w:rFonts w:hint="eastAsia" w:ascii="方正仿宋_GBK" w:hAnsi="方正仿宋_GBK" w:eastAsia="方正仿宋_GBK" w:cs="方正仿宋_GBK"/>
          <w:i w:val="0"/>
          <w:caps w:val="0"/>
          <w:color w:val="auto"/>
          <w:spacing w:val="0"/>
          <w:sz w:val="32"/>
          <w:szCs w:val="32"/>
          <w:highlight w:val="none"/>
        </w:rPr>
        <w:t>支持居家</w:t>
      </w:r>
      <w:r>
        <w:rPr>
          <w:rFonts w:hint="eastAsia" w:ascii="方正仿宋_GBK" w:hAnsi="方正仿宋_GBK" w:eastAsia="方正仿宋_GBK" w:cs="方正仿宋_GBK"/>
          <w:i w:val="0"/>
          <w:caps w:val="0"/>
          <w:color w:val="auto"/>
          <w:spacing w:val="0"/>
          <w:sz w:val="32"/>
          <w:szCs w:val="32"/>
          <w:highlight w:val="none"/>
          <w:lang w:eastAsia="zh-CN"/>
        </w:rPr>
        <w:t>社区</w:t>
      </w:r>
      <w:r>
        <w:rPr>
          <w:rFonts w:hint="eastAsia" w:ascii="方正仿宋_GBK" w:hAnsi="方正仿宋_GBK" w:eastAsia="方正仿宋_GBK" w:cs="方正仿宋_GBK"/>
          <w:i w:val="0"/>
          <w:caps w:val="0"/>
          <w:color w:val="auto"/>
          <w:spacing w:val="0"/>
          <w:sz w:val="32"/>
          <w:szCs w:val="32"/>
          <w:highlight w:val="none"/>
        </w:rPr>
        <w:t>养老</w:t>
      </w:r>
      <w:r>
        <w:rPr>
          <w:rFonts w:hint="eastAsia" w:ascii="方正仿宋_GBK" w:hAnsi="方正仿宋_GBK" w:eastAsia="方正仿宋_GBK" w:cs="方正仿宋_GBK"/>
          <w:i w:val="0"/>
          <w:caps w:val="0"/>
          <w:color w:val="auto"/>
          <w:spacing w:val="0"/>
          <w:sz w:val="32"/>
          <w:szCs w:val="32"/>
          <w:highlight w:val="none"/>
          <w:lang w:eastAsia="zh-CN"/>
        </w:rPr>
        <w:t>产业发展</w:t>
      </w:r>
      <w:r>
        <w:rPr>
          <w:rFonts w:hint="eastAsia" w:ascii="方正仿宋_GBK" w:hAnsi="方正仿宋_GBK" w:eastAsia="方正仿宋_GBK" w:cs="方正仿宋_GBK"/>
          <w:i w:val="0"/>
          <w:caps w:val="0"/>
          <w:color w:val="auto"/>
          <w:spacing w:val="0"/>
          <w:sz w:val="32"/>
          <w:szCs w:val="32"/>
          <w:highlight w:val="none"/>
        </w:rPr>
        <w:t>。鼓励社会力量</w:t>
      </w:r>
      <w:r>
        <w:rPr>
          <w:rFonts w:hint="eastAsia" w:ascii="方正仿宋_GBK" w:hAnsi="方正仿宋_GBK" w:eastAsia="方正仿宋_GBK" w:cs="方正仿宋_GBK"/>
          <w:i w:val="0"/>
          <w:caps w:val="0"/>
          <w:color w:val="auto"/>
          <w:spacing w:val="0"/>
          <w:sz w:val="32"/>
          <w:szCs w:val="32"/>
          <w:highlight w:val="none"/>
          <w:lang w:val="en-US" w:eastAsia="zh-CN"/>
        </w:rPr>
        <w:t>参与</w:t>
      </w:r>
      <w:r>
        <w:rPr>
          <w:rFonts w:hint="eastAsia" w:ascii="方正仿宋_GBK" w:hAnsi="方正仿宋_GBK" w:eastAsia="方正仿宋_GBK" w:cs="方正仿宋_GBK"/>
          <w:i w:val="0"/>
          <w:caps w:val="0"/>
          <w:color w:val="auto"/>
          <w:spacing w:val="0"/>
          <w:sz w:val="32"/>
          <w:szCs w:val="32"/>
          <w:highlight w:val="none"/>
        </w:rPr>
        <w:t>为社区老年人开展日间照料、</w:t>
      </w:r>
      <w:r>
        <w:rPr>
          <w:rFonts w:hint="eastAsia" w:ascii="方正仿宋_GBK" w:hAnsi="方正仿宋_GBK" w:eastAsia="方正仿宋_GBK" w:cs="方正仿宋_GBK"/>
          <w:i w:val="0"/>
          <w:caps w:val="0"/>
          <w:color w:val="auto"/>
          <w:spacing w:val="0"/>
          <w:sz w:val="32"/>
          <w:szCs w:val="32"/>
          <w:highlight w:val="none"/>
          <w:lang w:eastAsia="zh-CN"/>
        </w:rPr>
        <w:t>护理保健</w:t>
      </w:r>
      <w:r>
        <w:rPr>
          <w:rFonts w:hint="eastAsia" w:ascii="方正仿宋_GBK" w:hAnsi="方正仿宋_GBK" w:eastAsia="方正仿宋_GBK" w:cs="方正仿宋_GBK"/>
          <w:i w:val="0"/>
          <w:caps w:val="0"/>
          <w:color w:val="auto"/>
          <w:spacing w:val="0"/>
          <w:sz w:val="32"/>
          <w:szCs w:val="32"/>
          <w:highlight w:val="none"/>
        </w:rPr>
        <w:t>、助餐助行、老年教育</w:t>
      </w:r>
      <w:r>
        <w:rPr>
          <w:rFonts w:hint="eastAsia" w:ascii="方正仿宋_GBK" w:hAnsi="方正仿宋_GBK" w:eastAsia="方正仿宋_GBK" w:cs="方正仿宋_GBK"/>
          <w:i w:val="0"/>
          <w:caps w:val="0"/>
          <w:color w:val="auto"/>
          <w:spacing w:val="0"/>
          <w:sz w:val="32"/>
          <w:szCs w:val="32"/>
          <w:highlight w:val="none"/>
          <w:lang w:eastAsia="zh-CN"/>
        </w:rPr>
        <w:t>、精神慰藉、陪诊转介</w:t>
      </w:r>
      <w:r>
        <w:rPr>
          <w:rFonts w:hint="eastAsia" w:ascii="方正仿宋_GBK" w:hAnsi="方正仿宋_GBK" w:eastAsia="方正仿宋_GBK" w:cs="方正仿宋_GBK"/>
          <w:i w:val="0"/>
          <w:caps w:val="0"/>
          <w:color w:val="auto"/>
          <w:spacing w:val="0"/>
          <w:sz w:val="32"/>
          <w:szCs w:val="32"/>
          <w:highlight w:val="none"/>
        </w:rPr>
        <w:t>等服务。支持居家社区养</w:t>
      </w:r>
      <w:bookmarkStart w:id="6" w:name="_GoBack"/>
      <w:bookmarkEnd w:id="6"/>
      <w:r>
        <w:rPr>
          <w:rFonts w:hint="eastAsia" w:ascii="方正仿宋_GBK" w:hAnsi="方正仿宋_GBK" w:eastAsia="方正仿宋_GBK" w:cs="方正仿宋_GBK"/>
          <w:i w:val="0"/>
          <w:caps w:val="0"/>
          <w:color w:val="auto"/>
          <w:spacing w:val="0"/>
          <w:sz w:val="32"/>
          <w:szCs w:val="32"/>
          <w:highlight w:val="none"/>
        </w:rPr>
        <w:t>老站点或物业服务企业提供助餐送餐等为老服务</w:t>
      </w:r>
      <w:r>
        <w:rPr>
          <w:rFonts w:hint="eastAsia" w:ascii="方正仿宋_GBK" w:hAnsi="方正仿宋_GBK" w:eastAsia="方正仿宋_GBK" w:cs="方正仿宋_GBK"/>
          <w:i w:val="0"/>
          <w:caps w:val="0"/>
          <w:color w:val="auto"/>
          <w:spacing w:val="0"/>
          <w:sz w:val="32"/>
          <w:szCs w:val="32"/>
          <w:highlight w:val="none"/>
          <w:lang w:eastAsia="zh-CN"/>
        </w:rPr>
        <w:t>，</w:t>
      </w:r>
      <w:r>
        <w:rPr>
          <w:rFonts w:hint="eastAsia" w:ascii="方正仿宋_GBK" w:hAnsi="方正仿宋_GBK" w:eastAsia="方正仿宋_GBK" w:cs="方正仿宋_GBK"/>
          <w:i w:val="0"/>
          <w:caps w:val="0"/>
          <w:color w:val="auto"/>
          <w:spacing w:val="0"/>
          <w:sz w:val="32"/>
          <w:szCs w:val="32"/>
          <w:highlight w:val="none"/>
        </w:rPr>
        <w:t>扩大助餐配送餐服务覆盖面。</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3" w:firstLineChars="200"/>
        <w:jc w:val="both"/>
        <w:textAlignment w:val="auto"/>
        <w:rPr>
          <w:rFonts w:hint="eastAsia" w:ascii="方正仿宋_GBK" w:hAnsi="方正仿宋_GBK" w:eastAsia="方正仿宋_GBK" w:cs="方正仿宋_GBK"/>
          <w:i w:val="0"/>
          <w:caps w:val="0"/>
          <w:color w:val="auto"/>
          <w:spacing w:val="0"/>
          <w:sz w:val="32"/>
          <w:szCs w:val="32"/>
          <w:highlight w:val="none"/>
          <w:lang w:eastAsia="zh-CN"/>
        </w:rPr>
      </w:pPr>
      <w:r>
        <w:rPr>
          <w:rStyle w:val="37"/>
          <w:rFonts w:hint="eastAsia" w:ascii="方正仿宋_GBK" w:hAnsi="方正仿宋_GBK" w:eastAsia="方正仿宋_GBK" w:cs="方正仿宋_GBK"/>
          <w:color w:val="auto"/>
          <w:sz w:val="32"/>
          <w:szCs w:val="32"/>
          <w:highlight w:val="none"/>
          <w:lang w:val="en-US" w:eastAsia="zh-CN"/>
        </w:rPr>
        <w:t>8.提高运营服务水平</w:t>
      </w:r>
      <w:r>
        <w:rPr>
          <w:rFonts w:hint="eastAsia" w:ascii="方正仿宋_GBK" w:hAnsi="方正仿宋_GBK" w:eastAsia="方正仿宋_GBK" w:cs="方正仿宋_GBK"/>
          <w:i w:val="0"/>
          <w:caps w:val="0"/>
          <w:color w:val="auto"/>
          <w:spacing w:val="0"/>
          <w:sz w:val="32"/>
          <w:szCs w:val="32"/>
          <w:highlight w:val="none"/>
        </w:rPr>
        <w:t>。深化居家和社区养老服务改革试点。完善居家和社区养老服务设施长效运行机制。推动居家、社区与机构养老融合发展，支持专业养老机构运营居家养老服务机构，将服务延伸到居家社区。打造以社区为平台、社会组织为载体、社会工作者为支撑的居家社区养老服务“三社联动”机制。鼓励居家和社区养老设施与社区医疗、康复、文体等设施资源共享，深度融合社区养老与社区医疗、康复、文体、家政等服务。</w:t>
      </w:r>
      <w:r>
        <w:rPr>
          <w:rFonts w:hint="eastAsia" w:ascii="方正仿宋_GBK" w:hAnsi="方正仿宋_GBK" w:eastAsia="方正仿宋_GBK" w:cs="方正仿宋_GBK"/>
          <w:i w:val="0"/>
          <w:caps w:val="0"/>
          <w:color w:val="auto"/>
          <w:spacing w:val="0"/>
          <w:sz w:val="32"/>
          <w:szCs w:val="32"/>
          <w:highlight w:val="none"/>
          <w:lang w:eastAsia="zh-CN"/>
        </w:rPr>
        <w:t>加快推进在乡镇（街道）层面设立具备全托、日托、上门服务、对下指导等综合功能的综合养老服务中心，增加城乡社区嵌入式、综合性、多功能、普惠性优质养老服务供给，满足老年人就近就便的养老服务需求</w:t>
      </w:r>
      <w:r>
        <w:rPr>
          <w:rFonts w:hint="eastAsia" w:ascii="方正仿宋_GBK" w:hAnsi="方正仿宋_GBK" w:eastAsia="方正仿宋_GBK" w:cs="方正仿宋_GBK"/>
          <w:i w:val="0"/>
          <w:caps w:val="0"/>
          <w:color w:val="auto"/>
          <w:spacing w:val="0"/>
          <w:sz w:val="32"/>
          <w:szCs w:val="32"/>
          <w:highlight w:val="none"/>
        </w:rPr>
        <w:t>。</w:t>
      </w:r>
      <w:r>
        <w:rPr>
          <w:rFonts w:hint="eastAsia" w:ascii="方正仿宋_GBK" w:hAnsi="方正仿宋_GBK" w:eastAsia="方正仿宋_GBK" w:cs="方正仿宋_GBK"/>
          <w:i w:val="0"/>
          <w:caps w:val="0"/>
          <w:color w:val="auto"/>
          <w:spacing w:val="0"/>
          <w:sz w:val="32"/>
          <w:szCs w:val="32"/>
          <w:highlight w:val="none"/>
          <w:lang w:eastAsia="zh-CN"/>
        </w:rPr>
        <w:t>推动</w:t>
      </w:r>
      <w:r>
        <w:rPr>
          <w:rFonts w:hint="eastAsia" w:ascii="方正仿宋_GBK" w:hAnsi="方正仿宋_GBK" w:eastAsia="方正仿宋_GBK" w:cs="方正仿宋_GBK"/>
          <w:i w:val="0"/>
          <w:caps w:val="0"/>
          <w:color w:val="auto"/>
          <w:spacing w:val="0"/>
          <w:sz w:val="32"/>
          <w:szCs w:val="32"/>
          <w:highlight w:val="none"/>
        </w:rPr>
        <w:t>有条件的镇</w:t>
      </w:r>
      <w:r>
        <w:rPr>
          <w:rFonts w:hint="eastAsia" w:ascii="方正仿宋_GBK" w:hAnsi="方正仿宋_GBK" w:eastAsia="方正仿宋_GBK" w:cs="方正仿宋_GBK"/>
          <w:i w:val="0"/>
          <w:caps w:val="0"/>
          <w:color w:val="auto"/>
          <w:spacing w:val="0"/>
          <w:sz w:val="32"/>
          <w:szCs w:val="32"/>
          <w:highlight w:val="none"/>
          <w:lang w:eastAsia="zh-CN"/>
        </w:rPr>
        <w:t>（街）</w:t>
      </w:r>
      <w:r>
        <w:rPr>
          <w:rFonts w:hint="eastAsia" w:ascii="方正仿宋_GBK" w:hAnsi="方正仿宋_GBK" w:eastAsia="方正仿宋_GBK" w:cs="方正仿宋_GBK"/>
          <w:i w:val="0"/>
          <w:caps w:val="0"/>
          <w:color w:val="auto"/>
          <w:spacing w:val="0"/>
          <w:sz w:val="32"/>
          <w:szCs w:val="32"/>
          <w:highlight w:val="none"/>
        </w:rPr>
        <w:t>建有至少1家具备全托、日托、上门服务、协调指导等功能的综合性养老服务机构（中心）；到2023年，全市镇（街）范围具备综合功能的养老服务机构覆盖率达40%以上；到2025年，全市镇（街）范围具备综合功能的养老服务机构覆盖率达60%以上。</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left"/>
        <w:textAlignment w:val="auto"/>
        <w:rPr>
          <w:rFonts w:hint="eastAsia" w:ascii="方正仿宋_GBK" w:hAnsi="方正仿宋_GBK" w:eastAsia="方正仿宋_GBK" w:cs="方正仿宋_GBK"/>
          <w:i w:val="0"/>
          <w:caps w:val="0"/>
          <w:color w:val="auto"/>
          <w:spacing w:val="0"/>
          <w:sz w:val="32"/>
          <w:szCs w:val="32"/>
          <w:highlight w:val="none"/>
        </w:rPr>
      </w:pPr>
      <w:r>
        <w:rPr>
          <w:rStyle w:val="37"/>
          <w:rFonts w:hint="eastAsia" w:ascii="方正仿宋_GBK" w:hAnsi="方正仿宋_GBK" w:eastAsia="方正仿宋_GBK" w:cs="方正仿宋_GBK"/>
          <w:color w:val="auto"/>
          <w:sz w:val="32"/>
          <w:szCs w:val="32"/>
          <w:highlight w:val="none"/>
          <w:lang w:val="en-US" w:eastAsia="zh-CN"/>
        </w:rPr>
        <w:t>9.补足农村居家养老服务短板</w:t>
      </w:r>
      <w:r>
        <w:rPr>
          <w:rFonts w:hint="eastAsia" w:ascii="方正仿宋_GBK" w:hAnsi="方正仿宋_GBK" w:eastAsia="方正仿宋_GBK" w:cs="方正仿宋_GBK"/>
          <w:b/>
          <w:bCs/>
          <w:i w:val="0"/>
          <w:caps w:val="0"/>
          <w:color w:val="auto"/>
          <w:spacing w:val="0"/>
          <w:sz w:val="32"/>
          <w:szCs w:val="32"/>
          <w:highlight w:val="none"/>
        </w:rPr>
        <w:t>。</w:t>
      </w:r>
      <w:r>
        <w:rPr>
          <w:rFonts w:hint="eastAsia" w:ascii="方正仿宋_GBK" w:hAnsi="方正仿宋_GBK" w:eastAsia="方正仿宋_GBK" w:cs="方正仿宋_GBK"/>
          <w:i w:val="0"/>
          <w:caps w:val="0"/>
          <w:color w:val="auto"/>
          <w:spacing w:val="0"/>
          <w:sz w:val="32"/>
          <w:szCs w:val="32"/>
          <w:highlight w:val="none"/>
        </w:rPr>
        <w:t>坚持“分级建设、规模适度”的原则，</w:t>
      </w:r>
      <w:r>
        <w:rPr>
          <w:rFonts w:hint="eastAsia" w:ascii="方正仿宋_GBK" w:hAnsi="方正仿宋_GBK" w:eastAsia="方正仿宋_GBK" w:cs="方正仿宋_GBK"/>
          <w:i w:val="0"/>
          <w:caps w:val="0"/>
          <w:color w:val="auto"/>
          <w:spacing w:val="0"/>
          <w:sz w:val="32"/>
          <w:szCs w:val="32"/>
          <w:highlight w:val="none"/>
          <w:lang w:val="en-US" w:eastAsia="zh-CN"/>
        </w:rPr>
        <w:t>构建农村居家养老服务网络</w:t>
      </w:r>
      <w:r>
        <w:rPr>
          <w:rFonts w:hint="eastAsia" w:ascii="方正仿宋_GBK" w:hAnsi="方正仿宋_GBK" w:eastAsia="方正仿宋_GBK" w:cs="方正仿宋_GBK"/>
          <w:i w:val="0"/>
          <w:caps w:val="0"/>
          <w:color w:val="auto"/>
          <w:spacing w:val="0"/>
          <w:sz w:val="32"/>
          <w:szCs w:val="32"/>
          <w:highlight w:val="none"/>
        </w:rPr>
        <w:t>，实现资源共享</w:t>
      </w:r>
      <w:r>
        <w:rPr>
          <w:rFonts w:hint="eastAsia" w:ascii="方正仿宋_GBK" w:hAnsi="方正仿宋_GBK" w:eastAsia="方正仿宋_GBK" w:cs="方正仿宋_GBK"/>
          <w:i w:val="0"/>
          <w:caps w:val="0"/>
          <w:color w:val="auto"/>
          <w:spacing w:val="0"/>
          <w:sz w:val="32"/>
          <w:szCs w:val="32"/>
          <w:highlight w:val="none"/>
          <w:lang w:eastAsia="zh-CN"/>
        </w:rPr>
        <w:t>。</w:t>
      </w:r>
      <w:r>
        <w:rPr>
          <w:rFonts w:hint="eastAsia" w:ascii="方正仿宋_GBK" w:hAnsi="方正仿宋_GBK" w:eastAsia="方正仿宋_GBK" w:cs="方正仿宋_GBK"/>
          <w:i w:val="0"/>
          <w:caps w:val="0"/>
          <w:color w:val="auto"/>
          <w:spacing w:val="0"/>
          <w:sz w:val="32"/>
          <w:szCs w:val="32"/>
          <w:highlight w:val="none"/>
        </w:rPr>
        <w:t>整合农村幸福院等设施</w:t>
      </w:r>
      <w:r>
        <w:rPr>
          <w:rFonts w:hint="eastAsia" w:ascii="方正仿宋_GBK" w:hAnsi="方正仿宋_GBK" w:eastAsia="方正仿宋_GBK" w:cs="方正仿宋_GBK"/>
          <w:i w:val="0"/>
          <w:caps w:val="0"/>
          <w:color w:val="auto"/>
          <w:spacing w:val="0"/>
          <w:sz w:val="32"/>
          <w:szCs w:val="32"/>
          <w:highlight w:val="none"/>
          <w:lang w:eastAsia="zh-CN"/>
        </w:rPr>
        <w:t>，</w:t>
      </w:r>
      <w:r>
        <w:rPr>
          <w:rFonts w:hint="eastAsia" w:ascii="方正仿宋_GBK" w:hAnsi="方正仿宋_GBK" w:eastAsia="方正仿宋_GBK" w:cs="方正仿宋_GBK"/>
          <w:i w:val="0"/>
          <w:caps w:val="0"/>
          <w:color w:val="auto"/>
          <w:spacing w:val="0"/>
          <w:sz w:val="32"/>
          <w:szCs w:val="32"/>
          <w:highlight w:val="none"/>
        </w:rPr>
        <w:t>利用闲置学校、祠堂等资源用于农村居家养老发展</w:t>
      </w:r>
      <w:r>
        <w:rPr>
          <w:rFonts w:hint="eastAsia" w:ascii="方正仿宋_GBK" w:hAnsi="方正仿宋_GBK" w:eastAsia="方正仿宋_GBK" w:cs="方正仿宋_GBK"/>
          <w:i w:val="0"/>
          <w:caps w:val="0"/>
          <w:color w:val="auto"/>
          <w:spacing w:val="0"/>
          <w:sz w:val="32"/>
          <w:szCs w:val="32"/>
          <w:highlight w:val="none"/>
          <w:lang w:eastAsia="zh-CN"/>
        </w:rPr>
        <w:t>，打造农村社区养老服务平台或居家养老服务站点。</w:t>
      </w:r>
      <w:r>
        <w:rPr>
          <w:rFonts w:hint="eastAsia" w:ascii="方正仿宋_GBK" w:hAnsi="方正仿宋_GBK" w:eastAsia="方正仿宋_GBK" w:cs="方正仿宋_GBK"/>
          <w:i w:val="0"/>
          <w:caps w:val="0"/>
          <w:color w:val="auto"/>
          <w:spacing w:val="0"/>
          <w:sz w:val="32"/>
          <w:szCs w:val="32"/>
          <w:highlight w:val="none"/>
        </w:rPr>
        <w:t>发挥村民委员会、</w:t>
      </w:r>
      <w:r>
        <w:rPr>
          <w:rFonts w:hint="eastAsia" w:ascii="方正仿宋_GBK" w:hAnsi="方正仿宋_GBK" w:eastAsia="方正仿宋_GBK" w:cs="方正仿宋_GBK"/>
          <w:i w:val="0"/>
          <w:caps w:val="0"/>
          <w:color w:val="auto"/>
          <w:spacing w:val="0"/>
          <w:sz w:val="32"/>
          <w:szCs w:val="32"/>
          <w:highlight w:val="none"/>
          <w:lang w:eastAsia="zh-CN"/>
        </w:rPr>
        <w:t>老年协会</w:t>
      </w:r>
      <w:r>
        <w:rPr>
          <w:rFonts w:hint="eastAsia" w:ascii="方正仿宋_GBK" w:hAnsi="方正仿宋_GBK" w:eastAsia="方正仿宋_GBK" w:cs="方正仿宋_GBK"/>
          <w:i w:val="0"/>
          <w:caps w:val="0"/>
          <w:color w:val="auto"/>
          <w:spacing w:val="0"/>
          <w:sz w:val="32"/>
          <w:szCs w:val="32"/>
          <w:highlight w:val="none"/>
        </w:rPr>
        <w:t>等组织自主管理作用，鼓励农村妇女、低龄健康老年人等群体照护高龄、失能失智老年人。建立农村留守空巢老年人关爱制度，定期开展日常探视巡访</w:t>
      </w:r>
      <w:r>
        <w:rPr>
          <w:rFonts w:hint="eastAsia" w:ascii="方正仿宋_GBK" w:hAnsi="方正仿宋_GBK" w:eastAsia="方正仿宋_GBK" w:cs="方正仿宋_GBK"/>
          <w:i w:val="0"/>
          <w:caps w:val="0"/>
          <w:color w:val="auto"/>
          <w:spacing w:val="0"/>
          <w:sz w:val="32"/>
          <w:szCs w:val="32"/>
          <w:highlight w:val="none"/>
          <w:lang w:eastAsia="zh-CN"/>
        </w:rPr>
        <w:t>，</w:t>
      </w:r>
      <w:r>
        <w:rPr>
          <w:rFonts w:hint="eastAsia" w:ascii="方正仿宋_GBK" w:hAnsi="方正仿宋_GBK" w:eastAsia="方正仿宋_GBK" w:cs="方正仿宋_GBK"/>
          <w:i w:val="0"/>
          <w:caps w:val="0"/>
          <w:color w:val="auto"/>
          <w:spacing w:val="0"/>
          <w:sz w:val="32"/>
          <w:szCs w:val="32"/>
          <w:highlight w:val="none"/>
        </w:rPr>
        <w:t>提供援助服务。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left"/>
        <w:textAlignment w:val="auto"/>
        <w:rPr>
          <w:rFonts w:hint="eastAsia" w:ascii="方正仿宋_GBK" w:hAnsi="方正仿宋_GBK" w:eastAsia="方正仿宋_GBK" w:cs="方正仿宋_GBK"/>
          <w:i w:val="0"/>
          <w:caps w:val="0"/>
          <w:color w:val="auto"/>
          <w:spacing w:val="0"/>
          <w:sz w:val="32"/>
          <w:szCs w:val="32"/>
          <w:highlight w:val="none"/>
        </w:rPr>
      </w:pPr>
      <w:r>
        <w:rPr>
          <w:rFonts w:hint="eastAsia" w:ascii="方正仿宋_GBK" w:hAnsi="方正仿宋_GBK" w:eastAsia="方正仿宋_GBK" w:cs="方正仿宋_GBK"/>
          <w:b/>
          <w:bCs/>
          <w:i w:val="0"/>
          <w:caps w:val="0"/>
          <w:color w:val="auto"/>
          <w:spacing w:val="0"/>
          <w:sz w:val="32"/>
          <w:szCs w:val="32"/>
          <w:highlight w:val="none"/>
          <w:lang w:val="en-US" w:eastAsia="zh-CN"/>
        </w:rPr>
        <w:t>10.</w:t>
      </w:r>
      <w:r>
        <w:rPr>
          <w:rFonts w:hint="default" w:ascii="方正仿宋_GBK" w:hAnsi="方正仿宋_GBK" w:eastAsia="方正仿宋_GBK" w:cs="方正仿宋_GBK"/>
          <w:b/>
          <w:bCs/>
          <w:i w:val="0"/>
          <w:caps w:val="0"/>
          <w:color w:val="auto"/>
          <w:spacing w:val="0"/>
          <w:sz w:val="32"/>
          <w:szCs w:val="32"/>
          <w:highlight w:val="none"/>
          <w:lang w:val="en-US" w:eastAsia="zh-CN"/>
        </w:rPr>
        <w:t>发展为老志愿服务。</w:t>
      </w:r>
      <w:r>
        <w:rPr>
          <w:rFonts w:hint="default" w:ascii="方正仿宋_GBK" w:hAnsi="方正仿宋_GBK" w:eastAsia="方正仿宋_GBK" w:cs="方正仿宋_GBK"/>
          <w:i w:val="0"/>
          <w:caps w:val="0"/>
          <w:color w:val="auto"/>
          <w:spacing w:val="0"/>
          <w:sz w:val="32"/>
          <w:szCs w:val="32"/>
          <w:highlight w:val="none"/>
          <w:lang w:val="en-US" w:eastAsia="zh-CN"/>
        </w:rPr>
        <w:t>结合广东社工“双百工程”，依托乡镇（街道）社会工作服务站、村（居）社会工作服务点，通过社工扎根村居，为老年人等困难群体提供社会融入、能力提升、心理慰藉、精神疏导、资源链接、宣传倡导等专业化、精准化、精细化服务，切实加强基层养老力量和经办服务能力。大力培养为老服务社会工作者队伍，鼓励在养老服务机构中开发设置社会工作者岗位，为老年人提供专业化、精准化、精细化社会工作服务。扶持培育各类养老服务社会组织，配合支持各类为老志愿服务开展。以党建为引领，结合在职党员进社区活动，引导党员干部、社会工作者、志愿者、义工、健康低龄老年人等为失独、空巢、失能、留守老年人开展帮扶活动。</w:t>
      </w:r>
    </w:p>
    <w:tbl>
      <w:tblPr>
        <w:tblStyle w:val="19"/>
        <w:tblW w:w="868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6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eastAsia="zh-CN"/>
              </w:rPr>
              <w:t>专栏</w:t>
            </w:r>
            <w:r>
              <w:rPr>
                <w:rFonts w:hint="eastAsia" w:ascii="方正仿宋_GBK" w:hAnsi="方正仿宋_GBK" w:eastAsia="方正仿宋_GBK" w:cs="方正仿宋_GBK"/>
                <w:b/>
                <w:bCs/>
                <w:color w:val="auto"/>
                <w:sz w:val="28"/>
                <w:szCs w:val="28"/>
                <w:highlight w:val="none"/>
                <w:lang w:val="en-US" w:eastAsia="zh-CN"/>
              </w:rPr>
              <w:t>6：“十四五”期间构建鹤山市社区“15分钟”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Cs/>
                <w:color w:val="auto"/>
                <w:spacing w:val="0"/>
                <w:sz w:val="24"/>
                <w:szCs w:val="24"/>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居家养老服务圈目标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685"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lang w:val="en-US" w:eastAsia="zh-CN"/>
              </w:rPr>
              <w:t>1.</w:t>
            </w:r>
            <w:r>
              <w:rPr>
                <w:rFonts w:hint="eastAsia" w:ascii="方正仿宋_GBK" w:hAnsi="方正仿宋_GBK" w:eastAsia="方正仿宋_GBK" w:cs="方正仿宋_GBK"/>
                <w:bCs/>
                <w:color w:val="auto"/>
                <w:sz w:val="28"/>
                <w:szCs w:val="28"/>
                <w:highlight w:val="none"/>
              </w:rPr>
              <w:t>到202</w:t>
            </w:r>
            <w:r>
              <w:rPr>
                <w:rFonts w:hint="eastAsia" w:ascii="方正仿宋_GBK" w:hAnsi="方正仿宋_GBK" w:eastAsia="方正仿宋_GBK" w:cs="方正仿宋_GBK"/>
                <w:bCs/>
                <w:color w:val="auto"/>
                <w:sz w:val="28"/>
                <w:szCs w:val="28"/>
                <w:highlight w:val="none"/>
                <w:lang w:val="en-US" w:eastAsia="zh-CN"/>
              </w:rPr>
              <w:t>5</w:t>
            </w:r>
            <w:r>
              <w:rPr>
                <w:rFonts w:hint="eastAsia" w:ascii="方正仿宋_GBK" w:hAnsi="方正仿宋_GBK" w:eastAsia="方正仿宋_GBK" w:cs="方正仿宋_GBK"/>
                <w:bCs/>
                <w:color w:val="auto"/>
                <w:sz w:val="28"/>
                <w:szCs w:val="28"/>
                <w:highlight w:val="none"/>
              </w:rPr>
              <w:t>年，新建城区、新建居住（小）区按照每百户不低于20平方米的标准配套建设养老服务设施。到2025年，旧城区和已建住宅小区按照每百户不低于15平方米的标准配置补齐养老服务设施。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lang w:val="en-US" w:eastAsia="zh-CN"/>
              </w:rPr>
              <w:t>2.推动有条件的镇（街）建有至少1家具备全托、日托、上门服务、协调指导等功能的综合性养老服务机构（中心）；到2023年，全市镇（街）范围具备综合功能的养老服务机构覆盖率达40%以上；到2025年，全市镇（街）范围具备综合功能的养老服务机构覆盖率达60%以上</w:t>
            </w:r>
            <w:r>
              <w:rPr>
                <w:rFonts w:hint="eastAsia" w:ascii="方正仿宋_GBK" w:hAnsi="方正仿宋_GBK" w:eastAsia="方正仿宋_GBK" w:cs="方正仿宋_GBK"/>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lang w:val="en-US" w:eastAsia="zh-CN"/>
              </w:rPr>
              <w:t>3.</w:t>
            </w:r>
            <w:r>
              <w:rPr>
                <w:rFonts w:hint="eastAsia" w:ascii="方正仿宋_GBK" w:hAnsi="方正仿宋_GBK" w:eastAsia="方正仿宋_GBK" w:cs="方正仿宋_GBK"/>
                <w:bCs/>
                <w:color w:val="auto"/>
                <w:sz w:val="28"/>
                <w:szCs w:val="28"/>
                <w:highlight w:val="none"/>
              </w:rPr>
              <w:t>持续推进居家养老“大配餐”、社区养老长者食堂等助餐配餐服务模式，健全完善助餐配餐服务点。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4.</w:t>
            </w:r>
            <w:r>
              <w:rPr>
                <w:rFonts w:hint="eastAsia" w:ascii="方正仿宋_GBK" w:hAnsi="方正仿宋_GBK" w:eastAsia="方正仿宋_GBK" w:cs="方正仿宋_GBK"/>
                <w:bCs/>
                <w:color w:val="auto"/>
                <w:sz w:val="28"/>
                <w:szCs w:val="28"/>
                <w:highlight w:val="none"/>
              </w:rPr>
              <w:t>依托居家养老服务“平安通”等建立健全居家老年人“一键呼救”紧急救援响应机制，保障居家老年人紧急救援应急需求。持续推进“平安通”服务扩面扩容。</w:t>
            </w:r>
            <w:r>
              <w:rPr>
                <w:rFonts w:hint="eastAsia" w:ascii="方正仿宋_GBK" w:hAnsi="方正仿宋_GBK" w:eastAsia="方正仿宋_GBK" w:cs="方正仿宋_GBK"/>
                <w:bCs/>
                <w:color w:val="auto"/>
                <w:sz w:val="28"/>
                <w:szCs w:val="28"/>
                <w:highlight w:val="none"/>
                <w:lang w:val="en-US" w:eastAsia="zh-CN"/>
              </w:rPr>
              <w:t>2022年前服务人数达到2750人。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lang w:val="en-US" w:eastAsia="zh-CN"/>
              </w:rPr>
              <w:t>5.</w:t>
            </w:r>
            <w:r>
              <w:rPr>
                <w:rFonts w:hint="eastAsia" w:ascii="方正仿宋_GBK" w:hAnsi="方正仿宋_GBK" w:eastAsia="方正仿宋_GBK" w:cs="方正仿宋_GBK"/>
                <w:bCs/>
                <w:color w:val="auto"/>
                <w:sz w:val="28"/>
                <w:szCs w:val="28"/>
                <w:highlight w:val="none"/>
              </w:rPr>
              <w:t>到2022年，全面建立居家社区老年人定期探访制度，重点关注特殊困难老年人，月探访率达到100%。</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Cs/>
                <w:color w:val="auto"/>
                <w:spacing w:val="0"/>
                <w:sz w:val="28"/>
                <w:szCs w:val="28"/>
                <w:highlight w:val="none"/>
              </w:rPr>
            </w:pPr>
            <w:r>
              <w:rPr>
                <w:rFonts w:hint="eastAsia" w:ascii="方正仿宋_GBK" w:hAnsi="方正仿宋_GBK" w:eastAsia="方正仿宋_GBK" w:cs="方正仿宋_GBK"/>
                <w:bCs/>
                <w:color w:val="auto"/>
                <w:spacing w:val="0"/>
                <w:sz w:val="28"/>
                <w:szCs w:val="28"/>
                <w:highlight w:val="none"/>
                <w:lang w:val="en-US" w:eastAsia="zh-CN"/>
              </w:rPr>
              <w:t>6.</w:t>
            </w:r>
            <w:r>
              <w:rPr>
                <w:rFonts w:hint="eastAsia" w:ascii="方正仿宋_GBK" w:hAnsi="方正仿宋_GBK" w:eastAsia="方正仿宋_GBK" w:cs="方正仿宋_GBK"/>
                <w:bCs/>
                <w:color w:val="auto"/>
                <w:spacing w:val="0"/>
                <w:sz w:val="28"/>
                <w:szCs w:val="28"/>
                <w:highlight w:val="none"/>
              </w:rPr>
              <w:t>“十四五”期间，</w:t>
            </w:r>
            <w:r>
              <w:rPr>
                <w:rFonts w:hint="eastAsia" w:ascii="方正仿宋_GBK" w:hAnsi="方正仿宋_GBK" w:eastAsia="方正仿宋_GBK" w:cs="方正仿宋_GBK"/>
                <w:bCs/>
                <w:color w:val="auto"/>
                <w:spacing w:val="0"/>
                <w:sz w:val="28"/>
                <w:szCs w:val="28"/>
                <w:highlight w:val="none"/>
                <w:lang w:eastAsia="zh-CN"/>
              </w:rPr>
              <w:t>全市</w:t>
            </w:r>
            <w:r>
              <w:rPr>
                <w:rFonts w:hint="eastAsia" w:ascii="方正仿宋_GBK" w:hAnsi="方正仿宋_GBK" w:eastAsia="方正仿宋_GBK" w:cs="方正仿宋_GBK"/>
                <w:bCs/>
                <w:color w:val="auto"/>
                <w:spacing w:val="0"/>
                <w:sz w:val="28"/>
                <w:szCs w:val="28"/>
                <w:highlight w:val="none"/>
              </w:rPr>
              <w:t>力争建成不少于</w:t>
            </w:r>
            <w:r>
              <w:rPr>
                <w:rFonts w:hint="eastAsia" w:ascii="方正仿宋_GBK" w:hAnsi="方正仿宋_GBK" w:eastAsia="方正仿宋_GBK" w:cs="方正仿宋_GBK"/>
                <w:bCs/>
                <w:color w:val="auto"/>
                <w:spacing w:val="0"/>
                <w:sz w:val="28"/>
                <w:szCs w:val="28"/>
                <w:highlight w:val="none"/>
                <w:u w:val="none"/>
                <w:lang w:val="en-US" w:eastAsia="zh-CN"/>
              </w:rPr>
              <w:t>3</w:t>
            </w:r>
            <w:r>
              <w:rPr>
                <w:rFonts w:hint="eastAsia" w:ascii="方正仿宋_GBK" w:hAnsi="方正仿宋_GBK" w:eastAsia="方正仿宋_GBK" w:cs="方正仿宋_GBK"/>
                <w:bCs/>
                <w:color w:val="auto"/>
                <w:spacing w:val="0"/>
                <w:sz w:val="28"/>
                <w:szCs w:val="28"/>
                <w:highlight w:val="none"/>
                <w:u w:val="none"/>
              </w:rPr>
              <w:t>个</w:t>
            </w:r>
            <w:r>
              <w:rPr>
                <w:rFonts w:hint="eastAsia" w:ascii="方正仿宋_GBK" w:hAnsi="方正仿宋_GBK" w:eastAsia="方正仿宋_GBK" w:cs="方正仿宋_GBK"/>
                <w:bCs/>
                <w:color w:val="auto"/>
                <w:spacing w:val="0"/>
                <w:sz w:val="28"/>
                <w:szCs w:val="28"/>
                <w:highlight w:val="none"/>
              </w:rPr>
              <w:t>居家社区养老服务示范站点。持续发展“长者食堂”“家门口的社区老年大学”“老年人心理健康服务站”“慈善+适老化资源链接服务”“居家养老护理链接服务”“社区养老床位”等服务功能。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Cs/>
                <w:color w:val="auto"/>
                <w:spacing w:val="0"/>
                <w:sz w:val="28"/>
                <w:szCs w:val="28"/>
                <w:highlight w:val="none"/>
                <w:lang w:val="en-US" w:eastAsia="zh-CN"/>
              </w:rPr>
              <w:t>7.探索发展家庭养老模式，支持养老服务机构、家政服务机构等将专业化将专业化服务延伸至家庭。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仿宋_GB2312"/>
                <w:bCs/>
                <w:color w:val="auto"/>
                <w:sz w:val="24"/>
                <w:szCs w:val="24"/>
                <w:highlight w:val="none"/>
              </w:rPr>
            </w:pPr>
            <w:r>
              <w:rPr>
                <w:rFonts w:hint="eastAsia" w:ascii="方正仿宋_GBK" w:hAnsi="方正仿宋_GBK" w:eastAsia="方正仿宋_GBK" w:cs="方正仿宋_GBK"/>
                <w:bCs/>
                <w:color w:val="auto"/>
                <w:spacing w:val="0"/>
                <w:sz w:val="28"/>
                <w:szCs w:val="28"/>
                <w:highlight w:val="none"/>
                <w:lang w:val="en-US" w:eastAsia="zh-CN"/>
              </w:rPr>
              <w:t>8.</w:t>
            </w:r>
            <w:r>
              <w:rPr>
                <w:rFonts w:hint="eastAsia" w:ascii="方正仿宋_GBK" w:hAnsi="方正仿宋_GBK" w:eastAsia="方正仿宋_GBK" w:cs="方正仿宋_GBK"/>
                <w:bCs/>
                <w:color w:val="auto"/>
                <w:spacing w:val="0"/>
                <w:sz w:val="28"/>
                <w:szCs w:val="28"/>
                <w:highlight w:val="none"/>
              </w:rPr>
              <w:t>实现对本市户籍的纳入分散供养特困人员、城乡最低生活保障对象和原建档立卡贫困人口范围的高龄、失能、残疾老年人家庭实施适老化家居环境改造全覆盖，积极引导社会家庭开展居家环境适老化改造。</w:t>
            </w:r>
          </w:p>
        </w:tc>
      </w:tr>
    </w:tbl>
    <w:p>
      <w:pPr>
        <w:pStyle w:val="5"/>
        <w:keepNext/>
        <w:keepLines/>
        <w:pageBreakBefore w:val="0"/>
        <w:widowControl w:val="0"/>
        <w:kinsoku/>
        <w:wordWrap/>
        <w:overflowPunct/>
        <w:topLinePunct w:val="0"/>
        <w:autoSpaceDE/>
        <w:autoSpaceDN/>
        <w:bidi w:val="0"/>
        <w:adjustRightInd w:val="0"/>
        <w:snapToGrid w:val="0"/>
        <w:spacing w:before="0" w:after="0" w:line="560" w:lineRule="exact"/>
        <w:ind w:firstLine="643" w:firstLineChars="200"/>
        <w:textAlignment w:val="auto"/>
        <w:rPr>
          <w:rFonts w:hint="eastAsia" w:ascii="方正楷体_GBK" w:hAnsi="方正楷体_GBK" w:eastAsia="方正楷体_GBK" w:cs="方正楷体_GBK"/>
          <w:color w:val="auto"/>
          <w:sz w:val="32"/>
          <w:szCs w:val="32"/>
          <w:highlight w:val="none"/>
          <w:lang w:val="en-US" w:eastAsia="zh-CN"/>
        </w:rPr>
      </w:pPr>
      <w:bookmarkStart w:id="3" w:name="_Toc18166"/>
      <w:r>
        <w:rPr>
          <w:rFonts w:hint="eastAsia" w:ascii="方正楷体_GBK" w:hAnsi="方正楷体_GBK" w:eastAsia="方正楷体_GBK" w:cs="方正楷体_GBK"/>
          <w:color w:val="auto"/>
          <w:sz w:val="32"/>
          <w:szCs w:val="32"/>
          <w:highlight w:val="none"/>
          <w:lang w:val="en-US" w:eastAsia="zh-CN"/>
        </w:rPr>
        <w:t>四、</w:t>
      </w:r>
      <w:r>
        <w:rPr>
          <w:rFonts w:hint="eastAsia" w:ascii="方正楷体_GBK" w:hAnsi="方正楷体_GBK" w:eastAsia="方正楷体_GBK" w:cs="方正楷体_GBK"/>
          <w:b/>
          <w:bCs/>
          <w:i w:val="0"/>
          <w:caps w:val="0"/>
          <w:color w:val="auto"/>
          <w:spacing w:val="0"/>
          <w:kern w:val="0"/>
          <w:sz w:val="32"/>
          <w:szCs w:val="32"/>
          <w:highlight w:val="none"/>
          <w:lang w:val="en-US" w:eastAsia="zh-CN" w:bidi="ar"/>
        </w:rPr>
        <w:t>多措并举推进养老服务提质增效</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both"/>
        <w:rPr>
          <w:rFonts w:hint="eastAsia" w:ascii="方正仿宋_GBK" w:hAnsi="方正仿宋_GBK" w:eastAsia="方正仿宋_GBK" w:cs="方正仿宋_GBK"/>
          <w:i w:val="0"/>
          <w:caps w:val="0"/>
          <w:color w:val="auto"/>
          <w:spacing w:val="0"/>
          <w:kern w:val="0"/>
          <w:sz w:val="32"/>
          <w:szCs w:val="32"/>
          <w:highlight w:val="none"/>
          <w:lang w:val="en-US" w:eastAsia="zh-CN" w:bidi="ar"/>
        </w:rPr>
      </w:pPr>
      <w:bookmarkStart w:id="4" w:name="_Toc28021"/>
      <w:r>
        <w:rPr>
          <w:rStyle w:val="37"/>
          <w:rFonts w:hint="eastAsia" w:ascii="方正仿宋_GBK" w:hAnsi="方正仿宋_GBK" w:eastAsia="方正仿宋_GBK" w:cs="方正仿宋_GBK"/>
          <w:color w:val="auto"/>
          <w:kern w:val="0"/>
          <w:sz w:val="32"/>
          <w:szCs w:val="32"/>
          <w:highlight w:val="none"/>
          <w:lang w:val="en-US" w:eastAsia="zh-CN" w:bidi="ar"/>
        </w:rPr>
        <w:t>11.激发养老服务市场化活力</w:t>
      </w:r>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全面放开养老服务市场，实行养老机构登记备案制度，落实养老服务领域公平竞争审查制度，支持各类所有制养老机构平等发展，进一步激励市场活力和社会资本潜力，探索更多社会力量参与养老服务发展模式，推进养老服务供给的市场化、多元化、优质化。加快乡镇敬老院转型步伐，支持将具备条件的公办养老机构</w:t>
      </w:r>
      <w:bookmarkStart w:id="5" w:name="_Toc10019"/>
      <w:r>
        <w:rPr>
          <w:rFonts w:hint="eastAsia" w:ascii="方正仿宋_GBK" w:hAnsi="方正仿宋_GBK" w:eastAsia="方正仿宋_GBK" w:cs="方正仿宋_GBK"/>
          <w:i w:val="0"/>
          <w:caps w:val="0"/>
          <w:color w:val="auto"/>
          <w:spacing w:val="0"/>
          <w:kern w:val="0"/>
          <w:sz w:val="32"/>
          <w:szCs w:val="32"/>
          <w:highlight w:val="none"/>
          <w:lang w:val="en-US" w:eastAsia="zh-CN" w:bidi="ar"/>
        </w:rPr>
        <w:t>采取政府购买服务、政府和社会资本合作等方式，实施公办养老服务设施社会化运营。</w:t>
      </w:r>
      <w:bookmarkEnd w:id="5"/>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leftChars="0" w:firstLine="643" w:firstLineChars="200"/>
        <w:textAlignment w:val="baseline"/>
        <w:rPr>
          <w:rStyle w:val="37"/>
          <w:rFonts w:hint="eastAsia" w:ascii="方正仿宋_GBK" w:hAnsi="方正仿宋_GBK" w:eastAsia="方正仿宋_GBK" w:cs="方正仿宋_GBK"/>
          <w:color w:val="auto"/>
          <w:kern w:val="0"/>
          <w:sz w:val="32"/>
          <w:szCs w:val="32"/>
          <w:highlight w:val="none"/>
          <w:lang w:val="en-US" w:eastAsia="zh-CN" w:bidi="ar"/>
        </w:rPr>
      </w:pPr>
      <w:r>
        <w:rPr>
          <w:rStyle w:val="37"/>
          <w:rFonts w:hint="eastAsia" w:ascii="方正仿宋_GBK" w:hAnsi="方正仿宋_GBK" w:eastAsia="方正仿宋_GBK" w:cs="方正仿宋_GBK"/>
          <w:color w:val="auto"/>
          <w:kern w:val="0"/>
          <w:sz w:val="32"/>
          <w:szCs w:val="32"/>
          <w:highlight w:val="none"/>
          <w:lang w:val="en-US" w:eastAsia="zh-CN" w:bidi="ar"/>
        </w:rPr>
        <w:t>12.规范养老服务标准化建设</w:t>
      </w:r>
      <w:bookmarkEnd w:id="4"/>
      <w:r>
        <w:rPr>
          <w:rFonts w:hint="eastAsia" w:ascii="方正仿宋_GBK" w:hAnsi="方正仿宋_GBK" w:eastAsia="方正仿宋_GBK" w:cs="方正仿宋_GBK"/>
          <w:b/>
          <w:bCs/>
          <w:color w:val="auto"/>
          <w:sz w:val="32"/>
          <w:szCs w:val="32"/>
          <w:highlight w:val="none"/>
          <w:lang w:val="en-US" w:eastAsia="zh-CN"/>
        </w:rPr>
        <w:t>。</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发挥标准规范引领作用，支持养老服务行业组织和机构建立健全养老服务标准和评价体系，实施养老机构服务质量、安全基本规范等标准，推动养老服务高质量发展。加快完善居家上门服务规范，提高社区居家养老设施设备配置和服务标准化水平。建设居家社区养老服务示范点，建立居家社区养老长效工作机制。持续开展养老机构等级评定，对照国家标准开展标准化建设和等级评定活动，引领养老机构建立健全与评定结果挂钩的收费和政策扶持体系。积极支持现有养老机构通过改造提升基础设施，健全各项服务标准，提升服务能力，及时申报评定相应等级。</w:t>
      </w:r>
    </w:p>
    <w:p>
      <w:pPr>
        <w:pStyle w:val="5"/>
        <w:keepNext/>
        <w:keepLines/>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highlight w:val="none"/>
          <w:lang w:val="en-US" w:eastAsia="zh-CN" w:bidi="ar"/>
        </w:rPr>
      </w:pPr>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13.打破老年人数字鸿沟。</w:t>
      </w:r>
      <w:r>
        <w:rPr>
          <w:rFonts w:hint="eastAsia" w:ascii="方正仿宋_GBK" w:hAnsi="方正仿宋_GBK" w:eastAsia="方正仿宋_GBK" w:cs="方正仿宋_GBK"/>
          <w:b w:val="0"/>
          <w:bCs w:val="0"/>
          <w:i w:val="0"/>
          <w:caps w:val="0"/>
          <w:color w:val="auto"/>
          <w:spacing w:val="0"/>
          <w:kern w:val="0"/>
          <w:sz w:val="32"/>
          <w:szCs w:val="32"/>
          <w:highlight w:val="none"/>
          <w:lang w:val="en-US" w:eastAsia="zh-CN" w:bidi="ar"/>
        </w:rPr>
        <w:t>依托“平安通”项目平台，大力推进我市智慧养老工程建设，提升市、镇（街）、村（居）养老服务的智慧化管理水平，完成兜底民生安全网构建，保障散居特困、高龄独居老年人等在家实现紧急救援呼叫服务全覆盖。促进养生、旅游、医疗、购物、家政、援助等行业融合发展，探索老年人与平台、商家、社会组织之间的供需对接机制，联动落地机构，实现资源共享、服务对接，形成“线上”“线下”互动合力。</w:t>
      </w:r>
    </w:p>
    <w:tbl>
      <w:tblPr>
        <w:tblStyle w:val="19"/>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560"/>
        <w:gridCol w:w="4110"/>
        <w:gridCol w:w="114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7" w:type="dxa"/>
            <w:gridSpan w:val="5"/>
          </w:tcPr>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jc w:val="center"/>
              <w:textAlignment w:val="baseline"/>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eastAsia="zh-CN"/>
              </w:rPr>
              <w:t>专栏</w:t>
            </w:r>
            <w:r>
              <w:rPr>
                <w:rFonts w:hint="eastAsia" w:ascii="方正仿宋_GBK" w:hAnsi="方正仿宋_GBK" w:eastAsia="方正仿宋_GBK" w:cs="方正仿宋_GBK"/>
                <w:b/>
                <w:bCs/>
                <w:color w:val="auto"/>
                <w:sz w:val="28"/>
                <w:szCs w:val="28"/>
                <w:highlight w:val="none"/>
                <w:lang w:val="en-US" w:eastAsia="zh-CN"/>
              </w:rPr>
              <w:t>7：“十四五”期间鹤山市居家养老助残服务“平安通”项目</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jc w:val="center"/>
              <w:textAlignment w:val="baseline"/>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b/>
                <w:bCs/>
                <w:color w:val="auto"/>
                <w:sz w:val="28"/>
                <w:szCs w:val="28"/>
                <w:highlight w:val="none"/>
                <w:lang w:val="en-US" w:eastAsia="zh-CN"/>
              </w:rPr>
              <w:t>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项目名称</w:t>
            </w:r>
          </w:p>
        </w:tc>
        <w:tc>
          <w:tcPr>
            <w:tcW w:w="1560" w:type="dxa"/>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项目内容</w:t>
            </w:r>
          </w:p>
        </w:tc>
        <w:tc>
          <w:tcPr>
            <w:tcW w:w="4110" w:type="dxa"/>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政府资助对象</w:t>
            </w:r>
          </w:p>
        </w:tc>
        <w:tc>
          <w:tcPr>
            <w:tcW w:w="1140" w:type="dxa"/>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覆盖镇（街）</w:t>
            </w:r>
          </w:p>
        </w:tc>
        <w:tc>
          <w:tcPr>
            <w:tcW w:w="1014" w:type="dxa"/>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仿宋_GBK" w:hAnsi="方正仿宋_GBK" w:eastAsia="方正仿宋_GBK" w:cs="方正仿宋_GBK"/>
                <w:color w:val="auto"/>
                <w:sz w:val="28"/>
                <w:szCs w:val="28"/>
                <w:highlight w:val="none"/>
                <w:vertAlign w:val="baseline"/>
              </w:rPr>
            </w:pPr>
            <w:r>
              <w:rPr>
                <w:rFonts w:hint="eastAsia" w:ascii="方正仿宋_GBK" w:hAnsi="方正仿宋_GBK" w:eastAsia="方正仿宋_GBK" w:cs="方正仿宋_GBK"/>
                <w:color w:val="auto"/>
                <w:sz w:val="28"/>
                <w:szCs w:val="28"/>
                <w:highlight w:val="none"/>
                <w:lang w:eastAsia="zh-CN"/>
              </w:rPr>
              <w:t>居家养老助残服务</w:t>
            </w:r>
            <w:r>
              <w:rPr>
                <w:rFonts w:hint="eastAsia" w:ascii="方正仿宋_GBK" w:hAnsi="方正仿宋_GBK" w:eastAsia="方正仿宋_GBK" w:cs="方正仿宋_GBK"/>
                <w:color w:val="auto"/>
                <w:sz w:val="28"/>
                <w:szCs w:val="28"/>
                <w:highlight w:val="none"/>
              </w:rPr>
              <w:t>“平安通”</w:t>
            </w:r>
            <w:r>
              <w:rPr>
                <w:rFonts w:hint="eastAsia" w:ascii="方正仿宋_GBK" w:hAnsi="方正仿宋_GBK" w:eastAsia="方正仿宋_GBK" w:cs="方正仿宋_GBK"/>
                <w:color w:val="auto"/>
                <w:sz w:val="28"/>
                <w:szCs w:val="28"/>
                <w:highlight w:val="none"/>
                <w:lang w:eastAsia="zh-CN"/>
              </w:rPr>
              <w:t>项目</w:t>
            </w:r>
          </w:p>
        </w:tc>
        <w:tc>
          <w:tcPr>
            <w:tcW w:w="1560" w:type="dxa"/>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eastAsia" w:ascii="方正仿宋_GBK" w:hAnsi="方正仿宋_GBK" w:eastAsia="方正仿宋_GBK" w:cs="方正仿宋_GBK"/>
                <w:color w:val="auto"/>
                <w:sz w:val="28"/>
                <w:szCs w:val="28"/>
                <w:highlight w:val="none"/>
                <w:vertAlign w:val="baseline"/>
              </w:rPr>
            </w:pPr>
            <w:r>
              <w:rPr>
                <w:rFonts w:hint="eastAsia" w:ascii="方正仿宋_GBK" w:hAnsi="方正仿宋_GBK" w:eastAsia="方正仿宋_GBK" w:cs="方正仿宋_GBK"/>
                <w:color w:val="auto"/>
                <w:sz w:val="28"/>
                <w:szCs w:val="28"/>
                <w:highlight w:val="none"/>
                <w:lang w:eastAsia="zh-CN"/>
              </w:rPr>
              <w:t>项目通过整合政府和社会资源，建立居家养老助残服务</w:t>
            </w:r>
            <w:r>
              <w:rPr>
                <w:rFonts w:hint="eastAsia" w:ascii="方正仿宋_GBK" w:hAnsi="方正仿宋_GBK" w:eastAsia="方正仿宋_GBK" w:cs="方正仿宋_GBK"/>
                <w:color w:val="auto"/>
                <w:sz w:val="28"/>
                <w:szCs w:val="28"/>
                <w:highlight w:val="none"/>
              </w:rPr>
              <w:t>“平安通”</w:t>
            </w:r>
            <w:r>
              <w:rPr>
                <w:rFonts w:hint="eastAsia" w:ascii="方正仿宋_GBK" w:hAnsi="方正仿宋_GBK" w:eastAsia="方正仿宋_GBK" w:cs="方正仿宋_GBK"/>
                <w:color w:val="auto"/>
                <w:sz w:val="28"/>
                <w:szCs w:val="28"/>
                <w:highlight w:val="none"/>
                <w:lang w:eastAsia="zh-CN"/>
              </w:rPr>
              <w:t>服务平台，为老年人、残疾人提供全天候紧急支援、医疗急救、主动关怀、情绪支援、政策咨询、信息查询、资源链接与转介等服务。</w:t>
            </w:r>
          </w:p>
        </w:tc>
        <w:tc>
          <w:tcPr>
            <w:tcW w:w="4110" w:type="dxa"/>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（1）60周岁及以上分散供养特困人员；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低保、低收入家庭中60周岁以上的下列人员：①独居老年人（指无配偶、无子女，或配偶、子女半年及以上没有共同居住，下同）；②纯老家庭成员（指全部家庭成员年龄均为60周岁以上，下同）；③重度残疾人（含一至四级重度残疾军人，不含重度听力残疾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（3）90周岁及以上老年人；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（4）80-89周岁的下列人员：①独居老年人；②纯老家庭成员；③失能（经评估认定为中度、重度失能）、失独老年人；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（5）经评估认定，且由镇街、村居委会审核同意的农村留守老年人、其他困难的老年人及残疾人（含一至四级重度残疾军人）</w:t>
            </w:r>
          </w:p>
        </w:tc>
        <w:tc>
          <w:tcPr>
            <w:tcW w:w="1140" w:type="dxa"/>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鹤山市沙坪街道、古劳镇、桃源镇、龙口镇、鹤城镇、共和镇、址山镇、宅梧镇、双合镇及相应的村、社区</w:t>
            </w:r>
          </w:p>
        </w:tc>
        <w:tc>
          <w:tcPr>
            <w:tcW w:w="1014" w:type="dxa"/>
            <w:vAlign w:val="top"/>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eastAsia="zh-CN"/>
              </w:rPr>
              <w:t>202</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bCs/>
                <w:color w:val="auto"/>
                <w:sz w:val="28"/>
                <w:szCs w:val="28"/>
                <w:highlight w:val="none"/>
                <w:lang w:val="en-US" w:eastAsia="zh-CN"/>
              </w:rPr>
              <w:t>服务人数达到2750人</w:t>
            </w:r>
            <w:r>
              <w:rPr>
                <w:rFonts w:hint="eastAsia" w:ascii="方正仿宋_GBK" w:hAnsi="方正仿宋_GBK" w:eastAsia="方正仿宋_GBK" w:cs="方正仿宋_GBK"/>
                <w:color w:val="auto"/>
                <w:sz w:val="28"/>
                <w:szCs w:val="28"/>
                <w:highlight w:val="none"/>
                <w:lang w:eastAsia="zh-CN"/>
              </w:rPr>
              <w:t>。力争</w:t>
            </w:r>
            <w:r>
              <w:rPr>
                <w:rFonts w:hint="eastAsia" w:ascii="方正仿宋_GBK" w:hAnsi="方正仿宋_GBK" w:eastAsia="方正仿宋_GBK" w:cs="方正仿宋_GBK"/>
                <w:color w:val="auto"/>
                <w:sz w:val="28"/>
                <w:szCs w:val="28"/>
                <w:highlight w:val="none"/>
                <w:lang w:val="en-US" w:eastAsia="zh-CN"/>
              </w:rPr>
              <w:t>2025年覆盖全市符合条件政府资助对象。</w:t>
            </w:r>
          </w:p>
        </w:tc>
      </w:tr>
    </w:tbl>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2"/>
        <w:rPr>
          <w:rStyle w:val="37"/>
          <w:rFonts w:hint="default" w:ascii="方正仿宋_GBK" w:hAnsi="方正仿宋_GBK" w:eastAsia="方正仿宋_GBK" w:cs="方正仿宋_GBK"/>
          <w:color w:val="auto"/>
          <w:kern w:val="0"/>
          <w:sz w:val="32"/>
          <w:szCs w:val="32"/>
          <w:highlight w:val="none"/>
          <w:lang w:val="en-US" w:eastAsia="zh-CN" w:bidi="ar"/>
        </w:rPr>
      </w:pPr>
      <w:r>
        <w:rPr>
          <w:rFonts w:hint="eastAsia" w:ascii="方正仿宋_GBK" w:hAnsi="方正仿宋_GBK" w:eastAsia="方正仿宋_GBK" w:cs="方正仿宋_GBK"/>
          <w:i w:val="0"/>
          <w:caps w:val="0"/>
          <w:color w:val="auto"/>
          <w:spacing w:val="0"/>
          <w:kern w:val="0"/>
          <w:sz w:val="32"/>
          <w:szCs w:val="32"/>
          <w:highlight w:val="none"/>
          <w:lang w:val="en-US" w:eastAsia="zh-CN" w:bidi="ar"/>
        </w:rPr>
        <w:t>营造智慧适老服务场景。坚持传统服务方式与智能化服务创新并行，聚焦公共服务、政务服务、生活服务等方面涉及老年人的高频事项和服务场景，切实解决老年人运用智能技术困难。强化线下服务渠道，完善必要的为老人工服务；优化线上服务模式，加强老年人身份信息归集和数据打通。建立健全“智慧助老”常态化工作机制，广泛动员各方力量为老年人提供智能培训服务，重点发挥社区老年大学等在智能技术培训中的重要作用，引导老年人正确认识和学习网络信息、智能技术。</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textAlignment w:val="auto"/>
        <w:outlineLvl w:val="2"/>
        <w:rPr>
          <w:rFonts w:hint="eastAsia" w:ascii="方正楷体_GBK" w:hAnsi="方正楷体_GBK" w:eastAsia="方正楷体_GBK" w:cs="方正楷体_GBK"/>
          <w:color w:val="auto"/>
          <w:sz w:val="32"/>
          <w:szCs w:val="32"/>
          <w:highlight w:val="none"/>
          <w:lang w:val="en-US" w:eastAsia="zh-CN"/>
        </w:rPr>
      </w:pPr>
      <w:r>
        <w:rPr>
          <w:rStyle w:val="37"/>
          <w:rFonts w:hint="eastAsia" w:ascii="方正仿宋_GBK" w:hAnsi="方正仿宋_GBK" w:eastAsia="方正仿宋_GBK" w:cs="方正仿宋_GBK"/>
          <w:color w:val="auto"/>
          <w:kern w:val="0"/>
          <w:sz w:val="32"/>
          <w:szCs w:val="32"/>
          <w:highlight w:val="none"/>
          <w:lang w:val="en-US" w:eastAsia="zh-CN" w:bidi="ar"/>
        </w:rPr>
        <w:t>14.完善老年人关爱服务体系</w:t>
      </w:r>
      <w:r>
        <w:rPr>
          <w:rFonts w:hint="eastAsia" w:ascii="方正仿宋_GBK" w:hAnsi="方正仿宋_GBK" w:eastAsia="方正仿宋_GBK" w:cs="方正仿宋_GBK"/>
          <w:b/>
          <w:bCs/>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定期开展居家社区老年人探访活动，重视防范和及时发现意外风险，重点关注空巢、留守、失能、重残、计划生育特殊家庭等特殊困难老年人。完善农村留守老年人关爱服务体系，健全农村留守老年人信息数据库。健全“社工+志愿者”联动服务机制，支持社工机构、心理咨询机构为老年人提供精神慰藉、心理疏导和生活支持等专业化服务，鼓励志愿服务组织和慈善组织为老年人提供身心关爱、照料支持和生活陪伴等多样化服务。聚焦涉及老年人的高频事项和服务场景，坚持传统服务方式与智能化服务创新并行，线上服务便利老年人使用，线下渠道优化手续流程，切实解决老年人运用智能技术困难，打破老年人面临的“数字鸿沟”。重视珍惜老年人的知识、技能、经验和优良品德，发挥老年人的专长和作用，鼓励其在自愿和量力而行的情况下，从事传播文化和科技知识、参与科技开发与应用、兴办社会公益事业等活动。</w:t>
      </w:r>
    </w:p>
    <w:p>
      <w:pPr>
        <w:pStyle w:val="5"/>
        <w:keepNext/>
        <w:keepLines/>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highlight w:val="none"/>
          <w:lang w:val="en-US" w:eastAsia="zh-CN" w:bidi="ar-SA"/>
        </w:rPr>
        <w:t>15.健全养老社会保障制度体系。</w:t>
      </w:r>
      <w:r>
        <w:rPr>
          <w:rFonts w:hint="eastAsia" w:ascii="方正仿宋_GBK" w:hAnsi="方正仿宋_GBK" w:eastAsia="方正仿宋_GBK" w:cs="方正仿宋_GBK"/>
          <w:b w:val="0"/>
          <w:bCs w:val="0"/>
          <w:color w:val="auto"/>
          <w:kern w:val="2"/>
          <w:sz w:val="32"/>
          <w:szCs w:val="32"/>
          <w:highlight w:val="none"/>
          <w:lang w:val="en-US" w:eastAsia="zh-CN" w:bidi="ar-SA"/>
        </w:rPr>
        <w:t>探索构建以基本养老保险为基础、以企业（职业）年金为补充、与个人储蓄性及税收递延型养老保险和其他商业保险相衔接的“三支柱”多层次养老保险体系。到2025年，基本养老保险参保率达到95%以上。落实机关事业单位养老保险关系转移接续政策，健全养老保险关系转移接续后待遇衔接机制。完善企业年金备案，扩大企业年金覆盖面。巩固和推进机关事业单位职业年金实账积累。完善城乡居民基本养老保险制度，适时提高最低缴费档次。完善被征地农民社会保障制度，引导符合条件的被征地农民参加企业职工养老保险。</w:t>
      </w:r>
    </w:p>
    <w:p>
      <w:pPr>
        <w:pStyle w:val="5"/>
        <w:keepNext/>
        <w:keepLines/>
        <w:pageBreakBefore w:val="0"/>
        <w:widowControl w:val="0"/>
        <w:kinsoku/>
        <w:wordWrap/>
        <w:overflowPunct/>
        <w:topLinePunct w:val="0"/>
        <w:autoSpaceDE/>
        <w:autoSpaceDN/>
        <w:bidi w:val="0"/>
        <w:adjustRightInd w:val="0"/>
        <w:snapToGrid w:val="0"/>
        <w:spacing w:before="0" w:after="0" w:line="560" w:lineRule="exact"/>
        <w:ind w:firstLine="643" w:firstLineChars="200"/>
        <w:textAlignment w:val="auto"/>
        <w:rPr>
          <w:rStyle w:val="37"/>
          <w:rFonts w:hint="eastAsia" w:ascii="方正仿宋_GBK" w:hAnsi="方正仿宋_GBK" w:eastAsia="方正仿宋_GBK" w:cs="方正仿宋_GBK"/>
          <w:b/>
          <w:color w:val="auto"/>
          <w:kern w:val="0"/>
          <w:sz w:val="32"/>
          <w:szCs w:val="32"/>
          <w:highlight w:val="none"/>
          <w:lang w:val="en-US" w:eastAsia="zh-CN" w:bidi="ar"/>
        </w:rPr>
      </w:pPr>
      <w:r>
        <w:rPr>
          <w:rFonts w:hint="eastAsia" w:ascii="方正楷体_GBK" w:hAnsi="方正楷体_GBK" w:eastAsia="方正楷体_GBK" w:cs="方正楷体_GBK"/>
          <w:sz w:val="32"/>
          <w:szCs w:val="32"/>
          <w:highlight w:val="none"/>
          <w:lang w:val="en-US" w:eastAsia="zh-CN"/>
        </w:rPr>
        <w:t>五、发展壮大养老服务产业</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43" w:firstLineChars="200"/>
        <w:textAlignment w:val="baseline"/>
        <w:rPr>
          <w:rFonts w:hint="eastAsia" w:ascii="方正仿宋_GBK" w:hAnsi="方正仿宋_GBK" w:eastAsia="方正仿宋_GBK" w:cs="方正仿宋_GBK"/>
          <w:i w:val="0"/>
          <w:caps w:val="0"/>
          <w:color w:val="auto"/>
          <w:spacing w:val="0"/>
          <w:kern w:val="0"/>
          <w:sz w:val="32"/>
          <w:szCs w:val="32"/>
          <w:highlight w:val="none"/>
          <w:lang w:val="en-US" w:eastAsia="zh-CN" w:bidi="ar"/>
        </w:rPr>
      </w:pPr>
      <w:r>
        <w:rPr>
          <w:rStyle w:val="37"/>
          <w:rFonts w:hint="eastAsia" w:ascii="方正仿宋_GBK" w:hAnsi="方正仿宋_GBK" w:eastAsia="方正仿宋_GBK" w:cs="方正仿宋_GBK"/>
          <w:color w:val="auto"/>
          <w:kern w:val="0"/>
          <w:sz w:val="32"/>
          <w:szCs w:val="32"/>
          <w:highlight w:val="none"/>
          <w:lang w:val="en-US" w:eastAsia="zh-CN" w:bidi="ar"/>
        </w:rPr>
        <w:t>16.推动养老服务业态融合发展</w:t>
      </w:r>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结合《江门华侨华人文化交流合作重要平台三年行动计划（2021-2023年）及工作清单的通知》，依托雁鸣湖畔养老养生公寓，搭建与港澳养老机构、组织交流互动平台，提升服务标准，解决港澳长者跨境养老的壁垒，探索和建立旅居养老标准化建设要求、服务流程、管理体系，形成标准化方案，探索建立“中医药+主题旅店”养老模式，构建以“中医药文化+功能检测+检后管理+主题旅店”为主综合型康养服务。吸引港澳及省外老人到鹤山来，组织我市老人走出去。整合周边资源，建设旅居康养服务联盟，为粤港澳大湾区老人提供更为丰富、更高标准的养老服务。</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43" w:firstLineChars="200"/>
        <w:textAlignment w:val="baseline"/>
        <w:rPr>
          <w:rFonts w:hint="eastAsia" w:ascii="方正仿宋_GBK" w:hAnsi="方正仿宋_GBK" w:eastAsia="方正仿宋_GBK" w:cs="方正仿宋_GBK"/>
          <w:i w:val="0"/>
          <w:caps w:val="0"/>
          <w:color w:val="auto"/>
          <w:spacing w:val="0"/>
          <w:kern w:val="0"/>
          <w:sz w:val="32"/>
          <w:szCs w:val="32"/>
          <w:highlight w:val="none"/>
          <w:lang w:val="en-US" w:eastAsia="zh-CN" w:bidi="ar"/>
        </w:rPr>
      </w:pPr>
      <w:r>
        <w:rPr>
          <w:rStyle w:val="37"/>
          <w:rFonts w:hint="eastAsia" w:ascii="方正仿宋_GBK" w:hAnsi="方正仿宋_GBK" w:eastAsia="方正仿宋_GBK" w:cs="方正仿宋_GBK"/>
          <w:color w:val="auto"/>
          <w:kern w:val="0"/>
          <w:sz w:val="32"/>
          <w:szCs w:val="32"/>
          <w:highlight w:val="none"/>
          <w:lang w:val="en-US" w:eastAsia="zh-CN" w:bidi="ar"/>
        </w:rPr>
        <w:t>17.扩大新型养老服务消费</w:t>
      </w:r>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积极推进养老服务领域供给性改革，重点开发适合老年人消费使用的新产品。引导社区、养老机构、老年大学设置针对老年人的智能信息技术培训课程，满足老年人智能化消费需求。正确引导老年人的消费观念和消费行为，促进老年消费市场的繁荣和发展。增强老年人权益保障。开展老年人产品和服务消费领域侵权行为专项整治，严厉打击面向老年人的假冒伪劣商品制售行为，严厉查处向老年人欺诈销售各类产品和服务的违法行为。</w:t>
      </w:r>
    </w:p>
    <w:p>
      <w:pPr>
        <w:pStyle w:val="36"/>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3"/>
        <w:textAlignment w:val="auto"/>
        <w:outlineLvl w:val="2"/>
        <w:rPr>
          <w:rStyle w:val="37"/>
          <w:rFonts w:hint="eastAsia" w:ascii="方正仿宋_GBK" w:hAnsi="方正仿宋_GBK" w:eastAsia="方正仿宋_GBK" w:cs="方正仿宋_GBK"/>
          <w:color w:val="auto"/>
          <w:kern w:val="0"/>
          <w:sz w:val="32"/>
          <w:szCs w:val="32"/>
          <w:highlight w:val="none"/>
          <w:lang w:val="en-US" w:eastAsia="zh-CN" w:bidi="ar"/>
        </w:rPr>
      </w:pPr>
      <w:r>
        <w:rPr>
          <w:rStyle w:val="37"/>
          <w:rFonts w:hint="eastAsia" w:ascii="方正仿宋_GBK" w:hAnsi="方正仿宋_GBK" w:eastAsia="方正仿宋_GBK" w:cs="方正仿宋_GBK"/>
          <w:color w:val="auto"/>
          <w:kern w:val="0"/>
          <w:sz w:val="32"/>
          <w:szCs w:val="32"/>
          <w:highlight w:val="none"/>
          <w:lang w:val="en-US" w:eastAsia="zh-CN" w:bidi="ar"/>
        </w:rPr>
        <w:t>18.提升老年人消费能力</w:t>
      </w:r>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w:t>
      </w:r>
      <w:r>
        <w:rPr>
          <w:rFonts w:hint="eastAsia" w:ascii="方正仿宋_GBK" w:hAnsi="方正仿宋_GBK" w:eastAsia="方正仿宋_GBK" w:cs="方正仿宋_GBK"/>
          <w:color w:val="auto"/>
          <w:sz w:val="32"/>
          <w:szCs w:val="32"/>
          <w:highlight w:val="none"/>
          <w:lang w:val="en-US" w:eastAsia="zh-CN"/>
        </w:rPr>
        <w:t>全面落实基本养老服务补贴制度。优化完善高龄津贴制度，推行</w:t>
      </w:r>
      <w:r>
        <w:rPr>
          <w:rFonts w:hint="eastAsia" w:ascii="方正仿宋_GBK" w:hAnsi="方正仿宋_GBK" w:eastAsia="方正仿宋_GBK" w:cs="方正仿宋_GBK"/>
          <w:color w:val="auto"/>
          <w:sz w:val="32"/>
          <w:szCs w:val="32"/>
          <w:highlight w:val="none"/>
          <w:lang w:val="zh-CN" w:eastAsia="zh-CN"/>
        </w:rPr>
        <w:t>经济困难的高龄、失能老人照护补贴制度，</w:t>
      </w:r>
      <w:r>
        <w:rPr>
          <w:rFonts w:hint="eastAsia" w:ascii="方正仿宋_GBK" w:hAnsi="方正仿宋_GBK" w:eastAsia="方正仿宋_GBK" w:cs="方正仿宋_GBK"/>
          <w:color w:val="auto"/>
          <w:sz w:val="32"/>
          <w:szCs w:val="32"/>
          <w:highlight w:val="none"/>
          <w:lang w:val="en-US" w:eastAsia="zh-CN"/>
        </w:rPr>
        <w:t>推动与残疾人两项补贴、社会救助等政策进一步衔接，完善补贴方式方法，提升精准度和有效性。</w:t>
      </w:r>
      <w:r>
        <w:rPr>
          <w:rFonts w:hint="eastAsia" w:ascii="方正仿宋_GBK" w:hAnsi="方正仿宋_GBK" w:eastAsia="方正仿宋_GBK" w:cs="方正仿宋_GBK"/>
          <w:color w:val="auto"/>
          <w:sz w:val="32"/>
          <w:szCs w:val="32"/>
          <w:highlight w:val="none"/>
          <w:lang w:val="zh-CN" w:eastAsia="zh-CN"/>
        </w:rPr>
        <w:t>充分发挥补贴政策的带动作用，转变政府服务供给方式，</w:t>
      </w:r>
      <w:r>
        <w:rPr>
          <w:rFonts w:hint="eastAsia" w:ascii="方正仿宋_GBK" w:hAnsi="方正仿宋_GBK" w:eastAsia="方正仿宋_GBK" w:cs="方正仿宋_GBK"/>
          <w:color w:val="auto"/>
          <w:sz w:val="32"/>
          <w:szCs w:val="32"/>
          <w:highlight w:val="none"/>
          <w:lang w:val="en-US" w:eastAsia="zh-CN"/>
        </w:rPr>
        <w:t>刺激养老服务市场有效供给。建立长期照护服务体系。</w:t>
      </w:r>
      <w:r>
        <w:rPr>
          <w:rFonts w:hint="eastAsia" w:ascii="方正仿宋_GBK" w:hAnsi="方正仿宋_GBK" w:eastAsia="方正仿宋_GBK" w:cs="方正仿宋_GBK"/>
          <w:sz w:val="32"/>
          <w:szCs w:val="32"/>
          <w:highlight w:val="none"/>
          <w:lang w:val="en-US" w:eastAsia="zh-CN"/>
        </w:rPr>
        <w:t>按照上级部门部署，</w:t>
      </w:r>
      <w:r>
        <w:rPr>
          <w:rFonts w:hint="eastAsia" w:ascii="方正仿宋_GBK" w:hAnsi="方正仿宋_GBK" w:eastAsia="方正仿宋_GBK" w:cs="方正仿宋_GBK"/>
          <w:color w:val="auto"/>
          <w:sz w:val="32"/>
          <w:szCs w:val="32"/>
          <w:highlight w:val="none"/>
          <w:lang w:val="en-US" w:eastAsia="zh-CN"/>
        </w:rPr>
        <w:t>积极探索长期照护保险制度，增强老年人接受护理照料的支付能力。开展老年人能力评估，评估结果与领取补贴、接受基本养老服务挂钩。</w:t>
      </w:r>
      <w:bookmarkEnd w:id="3"/>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43" w:firstLineChars="200"/>
        <w:textAlignment w:val="baseline"/>
        <w:rPr>
          <w:rFonts w:hint="eastAsia" w:ascii="方正楷体_GBK" w:hAnsi="方正楷体_GBK" w:eastAsia="方正楷体_GBK" w:cs="方正楷体_GBK"/>
          <w:color w:val="auto"/>
          <w:sz w:val="32"/>
          <w:szCs w:val="32"/>
          <w:highlight w:val="none"/>
          <w:lang w:val="en-US" w:eastAsia="zh-CN"/>
        </w:rPr>
      </w:pPr>
      <w:r>
        <w:rPr>
          <w:rStyle w:val="37"/>
          <w:rFonts w:hint="eastAsia" w:ascii="方正仿宋_GBK" w:hAnsi="方正仿宋_GBK" w:eastAsia="方正仿宋_GBK" w:cs="方正仿宋_GBK"/>
          <w:color w:val="auto"/>
          <w:kern w:val="0"/>
          <w:sz w:val="32"/>
          <w:szCs w:val="32"/>
          <w:highlight w:val="none"/>
          <w:lang w:val="en-US" w:eastAsia="zh-CN" w:bidi="ar"/>
        </w:rPr>
        <w:t>六、</w:t>
      </w:r>
      <w:r>
        <w:rPr>
          <w:rFonts w:hint="eastAsia" w:ascii="方正楷体_GBK" w:hAnsi="方正楷体_GBK" w:eastAsia="方正楷体_GBK" w:cs="方正楷体_GBK"/>
          <w:b/>
          <w:bCs/>
          <w:kern w:val="2"/>
          <w:sz w:val="32"/>
          <w:szCs w:val="32"/>
          <w:highlight w:val="none"/>
          <w:lang w:val="en-US" w:eastAsia="zh-CN" w:bidi="ar-SA"/>
        </w:rPr>
        <w:t>强化养老服务发展资源要素保障</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43" w:firstLineChars="200"/>
        <w:textAlignment w:val="baseline"/>
        <w:rPr>
          <w:rFonts w:hint="default" w:ascii="方正仿宋_GBK" w:hAnsi="方正仿宋_GBK" w:eastAsia="方正仿宋_GBK" w:cs="方正仿宋_GBK"/>
          <w:b/>
          <w:bCs/>
          <w:i w:val="0"/>
          <w:caps w:val="0"/>
          <w:color w:val="auto"/>
          <w:spacing w:val="0"/>
          <w:kern w:val="0"/>
          <w:sz w:val="32"/>
          <w:szCs w:val="32"/>
          <w:highlight w:val="none"/>
          <w:lang w:val="en-US" w:eastAsia="zh-CN" w:bidi="ar"/>
        </w:rPr>
      </w:pPr>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（一）强化人才支撑</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43" w:firstLineChars="200"/>
        <w:textAlignment w:val="baseline"/>
        <w:rPr>
          <w:rStyle w:val="37"/>
          <w:rFonts w:hint="eastAsia" w:ascii="方正仿宋_GBK" w:hAnsi="方正仿宋_GBK" w:eastAsia="方正仿宋_GBK" w:cs="方正仿宋_GBK"/>
          <w:color w:val="auto"/>
          <w:kern w:val="0"/>
          <w:sz w:val="32"/>
          <w:szCs w:val="32"/>
          <w:highlight w:val="none"/>
          <w:lang w:val="en-US" w:eastAsia="zh-CN" w:bidi="ar"/>
        </w:rPr>
      </w:pPr>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19.加强养老服务人才培训。</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提升职业技能水平，常态化开展养老护理员岗前培训、在岗轮训、转岗培训，强化养老护理员实际操作技能训练和综合能力素质培训，建设职业化、规范化、专业化的养老护理员队伍。支持行业学会协会、培训机构等主体按照评价规范开展标准化培训。加强养老服务行业就业指导服务，大力培养和引进养老服务专业人才。同步加强健康管理师、社会工作者、营养配餐师、心理咨询师、中医康复等养老服务专业人才的建设和培养。全市每年培训各类养老服务从业人员不少于250人次，实现培训规模和培训水平整体提升。到2025年，全市累计培训养老服务从业人员不少于1270人次。</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43" w:firstLineChars="200"/>
        <w:textAlignment w:val="baseline"/>
        <w:rPr>
          <w:rFonts w:hint="eastAsia" w:ascii="方正仿宋_GBK" w:hAnsi="方正仿宋_GBK" w:eastAsia="方正仿宋_GBK" w:cs="方正仿宋_GBK"/>
          <w:i w:val="0"/>
          <w:caps w:val="0"/>
          <w:color w:val="auto"/>
          <w:spacing w:val="0"/>
          <w:kern w:val="0"/>
          <w:sz w:val="32"/>
          <w:szCs w:val="32"/>
          <w:highlight w:val="none"/>
          <w:lang w:val="en-US" w:eastAsia="zh-CN" w:bidi="ar"/>
        </w:rPr>
      </w:pPr>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20.建立养老护理人员薪酬激励机制。</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畅通养老服务从业人员职业技能等级发展通道、拓宽职业发展空间，建立健全以品德、能力和业绩为导向的养老服务人员职业技能评价制度。推广与职业技能等级配套的薪酬激励机制，推动养老机构建立养老护理员薪酬待遇、护理服务价格与职业技能等级挂钩制度，推动职业技能等级与工资收入、福利待遇、岗位晋升、服务价格等同步提升，建立合理、激励、竞争性并存的养老服务从业人员薪酬指导体系。</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43" w:firstLineChars="200"/>
        <w:textAlignment w:val="baseline"/>
        <w:rPr>
          <w:rFonts w:hint="eastAsia" w:ascii="方正仿宋_GBK" w:hAnsi="方正仿宋_GBK" w:eastAsia="方正仿宋_GBK" w:cs="方正仿宋_GBK"/>
          <w:i w:val="0"/>
          <w:caps w:val="0"/>
          <w:color w:val="auto"/>
          <w:spacing w:val="0"/>
          <w:kern w:val="0"/>
          <w:sz w:val="32"/>
          <w:szCs w:val="32"/>
          <w:highlight w:val="none"/>
          <w:lang w:val="en-US" w:eastAsia="zh-CN" w:bidi="ar"/>
        </w:rPr>
      </w:pPr>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21.推动医护人员从事医养结合服务。</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落实医师执业地点区域注册制度，鼓励医护人员从事医养结合工作。鼓励退休医务人员到医养结合机构执业。鼓励在职医护人员到养老机构设置的医疗机构多点执业，支持符合条件的医师、护士在养老机构内开办诊所、护理站。</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43" w:firstLineChars="200"/>
        <w:textAlignment w:val="baseline"/>
        <w:rPr>
          <w:rFonts w:hint="eastAsia" w:ascii="方正仿宋_GBK" w:hAnsi="方正仿宋_GBK" w:eastAsia="方正仿宋_GBK" w:cs="方正仿宋_GBK"/>
          <w:i w:val="0"/>
          <w:caps w:val="0"/>
          <w:color w:val="auto"/>
          <w:spacing w:val="0"/>
          <w:kern w:val="0"/>
          <w:sz w:val="32"/>
          <w:szCs w:val="32"/>
          <w:highlight w:val="none"/>
          <w:lang w:val="en-US" w:eastAsia="zh-CN" w:bidi="ar"/>
        </w:rPr>
      </w:pPr>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22.建立养老服务行业就业创业机制。</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结合政府购买基层公共管理和社会服务，注重在镇（街）、村（社区）等基层一线开发养老服务岗位，优先吸纳城镇就业困难人员、农村转移劳动力和应届高校毕业生就业。对招用就业困难人员并依法缴纳社会保险费的养老服务组织，按照规定给予岗位补贴、社会保险补贴等支持。对自主创办养老服务企业的就业困难人员以及在校和毕业五年内的高等学校、职业院校（含技工院校）学生，可给予一次性创业资助。对在养老服务组织连续从事康复护理等养老服务工作达到规定年限的高等学校、职业院校（含技工学校）毕业生，可给予入职奖励或者补贴。探索出台就业补贴政策，推动和吸引高等院校毕业生从事养老服务工作。</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43" w:firstLineChars="200"/>
        <w:textAlignment w:val="baseline"/>
        <w:rPr>
          <w:rFonts w:hint="eastAsia" w:ascii="方正仿宋_GBK" w:hAnsi="方正仿宋_GBK" w:eastAsia="方正仿宋_GBK" w:cs="方正仿宋_GBK"/>
          <w:i w:val="0"/>
          <w:caps w:val="0"/>
          <w:color w:val="auto"/>
          <w:spacing w:val="0"/>
          <w:kern w:val="0"/>
          <w:sz w:val="32"/>
          <w:szCs w:val="32"/>
          <w:highlight w:val="none"/>
          <w:lang w:val="en-US" w:eastAsia="zh-CN" w:bidi="ar"/>
        </w:rPr>
      </w:pPr>
      <w:r>
        <w:rPr>
          <w:rFonts w:hint="eastAsia" w:ascii="方正仿宋_GBK" w:hAnsi="方正仿宋_GBK" w:eastAsia="方正仿宋_GBK" w:cs="方正仿宋_GBK"/>
          <w:b/>
          <w:bCs/>
          <w:i w:val="0"/>
          <w:caps w:val="0"/>
          <w:color w:val="auto"/>
          <w:spacing w:val="0"/>
          <w:kern w:val="0"/>
          <w:sz w:val="32"/>
          <w:szCs w:val="32"/>
          <w:highlight w:val="none"/>
          <w:lang w:val="en-US" w:eastAsia="zh-CN" w:bidi="ar"/>
        </w:rPr>
        <w:t>23. 加强养老服务行业信用体系管理。</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推进养老服务从业人员信息库建设，对养老服务从业人员进行统一登记管理，将从业人员登记管理信息纳入综合为老服务平台。推动成立行业自律组织，建立行业性社会组织开展从业人员诚信体系建设和综合服务评价。</w:t>
      </w:r>
    </w:p>
    <w:tbl>
      <w:tblPr>
        <w:tblStyle w:val="19"/>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300"/>
        <w:gridCol w:w="1250"/>
        <w:gridCol w:w="1217"/>
        <w:gridCol w:w="1400"/>
        <w:gridCol w:w="1412"/>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76" w:type="dxa"/>
            <w:gridSpan w:val="7"/>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bCs/>
                <w:color w:val="auto"/>
                <w:sz w:val="28"/>
                <w:szCs w:val="28"/>
                <w:highlight w:val="none"/>
                <w:lang w:eastAsia="zh-CN"/>
              </w:rPr>
              <w:t>专栏</w:t>
            </w:r>
            <w:r>
              <w:rPr>
                <w:rFonts w:hint="eastAsia" w:ascii="方正仿宋_GBK" w:hAnsi="方正仿宋_GBK" w:eastAsia="方正仿宋_GBK" w:cs="方正仿宋_GBK"/>
                <w:b/>
                <w:bCs/>
                <w:color w:val="auto"/>
                <w:sz w:val="28"/>
                <w:szCs w:val="28"/>
                <w:highlight w:val="none"/>
                <w:lang w:val="en-US" w:eastAsia="zh-CN"/>
              </w:rPr>
              <w:t>8：“十四五”期间开展养老服务培训目标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042" w:type="dxa"/>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年度</w:t>
            </w:r>
          </w:p>
        </w:tc>
        <w:tc>
          <w:tcPr>
            <w:tcW w:w="13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专业技能培训（场次）</w:t>
            </w:r>
          </w:p>
        </w:tc>
        <w:tc>
          <w:tcPr>
            <w:tcW w:w="125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参与</w:t>
            </w:r>
            <w:r>
              <w:rPr>
                <w:rFonts w:hint="eastAsia" w:ascii="方正仿宋_GBK" w:hAnsi="方正仿宋_GBK" w:eastAsia="方正仿宋_GBK" w:cs="方正仿宋_GBK"/>
                <w:color w:val="auto"/>
                <w:sz w:val="28"/>
                <w:szCs w:val="28"/>
                <w:highlight w:val="none"/>
                <w:lang w:eastAsia="zh-CN"/>
              </w:rPr>
              <w:t>目标</w:t>
            </w:r>
            <w:r>
              <w:rPr>
                <w:rFonts w:hint="eastAsia" w:ascii="方正仿宋_GBK" w:hAnsi="方正仿宋_GBK" w:eastAsia="方正仿宋_GBK" w:cs="方正仿宋_GBK"/>
                <w:color w:val="auto"/>
                <w:sz w:val="28"/>
                <w:szCs w:val="28"/>
                <w:highlight w:val="none"/>
              </w:rPr>
              <w:t>人次</w:t>
            </w:r>
          </w:p>
        </w:tc>
        <w:tc>
          <w:tcPr>
            <w:tcW w:w="121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职业道德培训（场次）</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参与</w:t>
            </w:r>
            <w:r>
              <w:rPr>
                <w:rFonts w:hint="eastAsia" w:ascii="方正仿宋_GBK" w:hAnsi="方正仿宋_GBK" w:eastAsia="方正仿宋_GBK" w:cs="方正仿宋_GBK"/>
                <w:color w:val="auto"/>
                <w:sz w:val="28"/>
                <w:szCs w:val="28"/>
                <w:highlight w:val="none"/>
                <w:lang w:eastAsia="zh-CN"/>
              </w:rPr>
              <w:t>目标</w:t>
            </w:r>
            <w:r>
              <w:rPr>
                <w:rFonts w:hint="eastAsia" w:ascii="方正仿宋_GBK" w:hAnsi="方正仿宋_GBK" w:eastAsia="方正仿宋_GBK" w:cs="方正仿宋_GBK"/>
                <w:color w:val="auto"/>
                <w:sz w:val="28"/>
                <w:szCs w:val="28"/>
                <w:highlight w:val="none"/>
              </w:rPr>
              <w:t>人次</w:t>
            </w:r>
          </w:p>
        </w:tc>
        <w:tc>
          <w:tcPr>
            <w:tcW w:w="1412" w:type="dxa"/>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安全及应急培训（场次）</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参与</w:t>
            </w:r>
            <w:r>
              <w:rPr>
                <w:rFonts w:hint="eastAsia" w:ascii="方正仿宋_GBK" w:hAnsi="方正仿宋_GBK" w:eastAsia="方正仿宋_GBK" w:cs="方正仿宋_GBK"/>
                <w:color w:val="auto"/>
                <w:sz w:val="28"/>
                <w:szCs w:val="28"/>
                <w:highlight w:val="none"/>
                <w:lang w:eastAsia="zh-CN"/>
              </w:rPr>
              <w:t>目标</w:t>
            </w:r>
            <w:r>
              <w:rPr>
                <w:rFonts w:hint="eastAsia" w:ascii="方正仿宋_GBK" w:hAnsi="方正仿宋_GBK" w:eastAsia="方正仿宋_GBK" w:cs="方正仿宋_GBK"/>
                <w:color w:val="auto"/>
                <w:sz w:val="28"/>
                <w:szCs w:val="28"/>
                <w:highlight w:val="none"/>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20</w:t>
            </w:r>
            <w:r>
              <w:rPr>
                <w:rFonts w:hint="eastAsia" w:ascii="方正仿宋_GBK" w:hAnsi="方正仿宋_GBK" w:eastAsia="方正仿宋_GBK" w:cs="方正仿宋_GBK"/>
                <w:color w:val="auto"/>
                <w:sz w:val="28"/>
                <w:szCs w:val="28"/>
                <w:highlight w:val="none"/>
                <w:lang w:val="en-US" w:eastAsia="zh-CN"/>
              </w:rPr>
              <w:t>21</w:t>
            </w:r>
          </w:p>
        </w:tc>
        <w:tc>
          <w:tcPr>
            <w:tcW w:w="13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w:t>
            </w:r>
          </w:p>
        </w:tc>
        <w:tc>
          <w:tcPr>
            <w:tcW w:w="125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50</w:t>
            </w:r>
          </w:p>
        </w:tc>
        <w:tc>
          <w:tcPr>
            <w:tcW w:w="121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50</w:t>
            </w:r>
          </w:p>
        </w:tc>
        <w:tc>
          <w:tcPr>
            <w:tcW w:w="1412"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20</w:t>
            </w:r>
            <w:r>
              <w:rPr>
                <w:rFonts w:hint="eastAsia" w:ascii="方正仿宋_GBK" w:hAnsi="方正仿宋_GBK" w:eastAsia="方正仿宋_GBK" w:cs="方正仿宋_GBK"/>
                <w:color w:val="auto"/>
                <w:sz w:val="28"/>
                <w:szCs w:val="28"/>
                <w:highlight w:val="none"/>
                <w:lang w:val="en-US" w:eastAsia="zh-CN"/>
              </w:rPr>
              <w:t>22</w:t>
            </w:r>
          </w:p>
        </w:tc>
        <w:tc>
          <w:tcPr>
            <w:tcW w:w="13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w:t>
            </w:r>
          </w:p>
        </w:tc>
        <w:tc>
          <w:tcPr>
            <w:tcW w:w="125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100</w:t>
            </w:r>
          </w:p>
        </w:tc>
        <w:tc>
          <w:tcPr>
            <w:tcW w:w="121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80</w:t>
            </w:r>
          </w:p>
        </w:tc>
        <w:tc>
          <w:tcPr>
            <w:tcW w:w="1412"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20</w:t>
            </w:r>
            <w:r>
              <w:rPr>
                <w:rFonts w:hint="eastAsia" w:ascii="方正仿宋_GBK" w:hAnsi="方正仿宋_GBK" w:eastAsia="方正仿宋_GBK" w:cs="方正仿宋_GBK"/>
                <w:color w:val="auto"/>
                <w:sz w:val="28"/>
                <w:szCs w:val="28"/>
                <w:highlight w:val="none"/>
                <w:lang w:val="en-US" w:eastAsia="zh-CN"/>
              </w:rPr>
              <w:t>23</w:t>
            </w:r>
          </w:p>
        </w:tc>
        <w:tc>
          <w:tcPr>
            <w:tcW w:w="13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w:t>
            </w:r>
          </w:p>
        </w:tc>
        <w:tc>
          <w:tcPr>
            <w:tcW w:w="125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100</w:t>
            </w:r>
          </w:p>
        </w:tc>
        <w:tc>
          <w:tcPr>
            <w:tcW w:w="121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80</w:t>
            </w:r>
          </w:p>
        </w:tc>
        <w:tc>
          <w:tcPr>
            <w:tcW w:w="1412"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20</w:t>
            </w:r>
            <w:r>
              <w:rPr>
                <w:rFonts w:hint="eastAsia" w:ascii="方正仿宋_GBK" w:hAnsi="方正仿宋_GBK" w:eastAsia="方正仿宋_GBK" w:cs="方正仿宋_GBK"/>
                <w:color w:val="auto"/>
                <w:sz w:val="28"/>
                <w:szCs w:val="28"/>
                <w:highlight w:val="none"/>
                <w:lang w:val="en-US" w:eastAsia="zh-CN"/>
              </w:rPr>
              <w:t>24</w:t>
            </w:r>
          </w:p>
        </w:tc>
        <w:tc>
          <w:tcPr>
            <w:tcW w:w="13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w:t>
            </w:r>
          </w:p>
        </w:tc>
        <w:tc>
          <w:tcPr>
            <w:tcW w:w="125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100</w:t>
            </w:r>
          </w:p>
        </w:tc>
        <w:tc>
          <w:tcPr>
            <w:tcW w:w="121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100</w:t>
            </w:r>
          </w:p>
        </w:tc>
        <w:tc>
          <w:tcPr>
            <w:tcW w:w="1412"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202</w:t>
            </w:r>
            <w:r>
              <w:rPr>
                <w:rFonts w:hint="eastAsia" w:ascii="方正仿宋_GBK" w:hAnsi="方正仿宋_GBK" w:eastAsia="方正仿宋_GBK" w:cs="方正仿宋_GBK"/>
                <w:color w:val="auto"/>
                <w:sz w:val="28"/>
                <w:szCs w:val="28"/>
                <w:highlight w:val="none"/>
                <w:lang w:val="en-US" w:eastAsia="zh-CN"/>
              </w:rPr>
              <w:t>5</w:t>
            </w:r>
          </w:p>
        </w:tc>
        <w:tc>
          <w:tcPr>
            <w:tcW w:w="13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w:t>
            </w:r>
          </w:p>
        </w:tc>
        <w:tc>
          <w:tcPr>
            <w:tcW w:w="125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100</w:t>
            </w:r>
          </w:p>
        </w:tc>
        <w:tc>
          <w:tcPr>
            <w:tcW w:w="1217"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1400"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100</w:t>
            </w:r>
          </w:p>
        </w:tc>
        <w:tc>
          <w:tcPr>
            <w:tcW w:w="1412"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p>
        </w:tc>
        <w:tc>
          <w:tcPr>
            <w:tcW w:w="1155" w:type="dxa"/>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100</w:t>
            </w:r>
          </w:p>
        </w:tc>
      </w:tr>
    </w:tbl>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43" w:firstLineChars="200"/>
        <w:textAlignment w:val="baseline"/>
        <w:rPr>
          <w:rStyle w:val="37"/>
          <w:rFonts w:hint="eastAsia" w:ascii="方正仿宋_GBK" w:hAnsi="方正仿宋_GBK" w:eastAsia="方正仿宋_GBK" w:cs="方正仿宋_GBK"/>
          <w:color w:val="auto"/>
          <w:kern w:val="0"/>
          <w:sz w:val="32"/>
          <w:szCs w:val="32"/>
          <w:highlight w:val="none"/>
          <w:lang w:val="en-US" w:eastAsia="zh-CN" w:bidi="ar"/>
        </w:rPr>
      </w:pPr>
      <w:r>
        <w:rPr>
          <w:rStyle w:val="37"/>
          <w:rFonts w:hint="eastAsia" w:ascii="方正仿宋_GBK" w:hAnsi="方正仿宋_GBK" w:eastAsia="方正仿宋_GBK" w:cs="方正仿宋_GBK"/>
          <w:color w:val="auto"/>
          <w:kern w:val="0"/>
          <w:sz w:val="32"/>
          <w:szCs w:val="32"/>
          <w:highlight w:val="none"/>
          <w:lang w:val="en-US" w:eastAsia="zh-CN" w:bidi="ar"/>
        </w:rPr>
        <w:t>（二）推进医养结合</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43" w:firstLineChars="200"/>
        <w:textAlignment w:val="baseline"/>
        <w:rPr>
          <w:rFonts w:hint="eastAsia" w:ascii="方正仿宋_GBK" w:hAnsi="方正仿宋_GBK" w:eastAsia="方正仿宋_GBK" w:cs="方正仿宋_GBK"/>
          <w:i w:val="0"/>
          <w:caps w:val="0"/>
          <w:color w:val="auto"/>
          <w:spacing w:val="0"/>
          <w:kern w:val="0"/>
          <w:sz w:val="32"/>
          <w:szCs w:val="32"/>
          <w:highlight w:val="none"/>
          <w:lang w:val="en-US" w:eastAsia="zh-CN" w:bidi="ar"/>
        </w:rPr>
      </w:pPr>
      <w:r>
        <w:rPr>
          <w:rStyle w:val="37"/>
          <w:rFonts w:hint="eastAsia" w:ascii="方正仿宋_GBK" w:hAnsi="方正仿宋_GBK" w:eastAsia="方正仿宋_GBK" w:cs="方正仿宋_GBK"/>
          <w:color w:val="auto"/>
          <w:kern w:val="0"/>
          <w:sz w:val="32"/>
          <w:szCs w:val="32"/>
          <w:highlight w:val="none"/>
          <w:lang w:val="en-US" w:eastAsia="zh-CN" w:bidi="ar"/>
        </w:rPr>
        <w:t>24.落实简化医养结合机构审批流程</w:t>
      </w:r>
      <w:r>
        <w:rPr>
          <w:rFonts w:hint="eastAsia" w:ascii="方正仿宋_GBK" w:hAnsi="方正仿宋_GBK" w:eastAsia="方正仿宋_GBK" w:cs="方正仿宋_GBK"/>
          <w:b/>
          <w:bCs/>
          <w:color w:val="auto"/>
          <w:spacing w:val="6"/>
          <w:sz w:val="32"/>
          <w:szCs w:val="32"/>
          <w:highlight w:val="none"/>
          <w:lang w:val="en-US" w:eastAsia="zh-CN"/>
        </w:rPr>
        <w:t>。</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对养老机构内设诊所、卫生所（室）、医务室、护理站，取消行政审批，实行备案管理，具备法人资格的医疗机构可通过变更登记事项或经营范围开展养老服务。健全养老机构与医疗卫生机构预约就诊、双向转诊等合作机制，基本构建养老、医疗、照护、康复、临终关怀等服务衔接补充的一体化服务模式。将养老机构内设符合条件的医疗机构纳入城乡居民基本医疗保险定点结算范围。</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67" w:firstLineChars="200"/>
        <w:textAlignment w:val="baseline"/>
        <w:rPr>
          <w:rFonts w:hint="eastAsia" w:ascii="方正仿宋_GBK" w:hAnsi="方正仿宋_GBK" w:eastAsia="方正仿宋_GBK" w:cs="方正仿宋_GBK"/>
          <w:i w:val="0"/>
          <w:caps w:val="0"/>
          <w:color w:val="auto"/>
          <w:spacing w:val="0"/>
          <w:kern w:val="0"/>
          <w:sz w:val="32"/>
          <w:szCs w:val="32"/>
          <w:highlight w:val="none"/>
          <w:lang w:val="en-US" w:eastAsia="zh-CN" w:bidi="ar"/>
        </w:rPr>
      </w:pPr>
      <w:r>
        <w:rPr>
          <w:rFonts w:hint="eastAsia" w:ascii="方正仿宋_GBK" w:hAnsi="方正仿宋_GBK" w:eastAsia="方正仿宋_GBK" w:cs="方正仿宋_GBK"/>
          <w:b/>
          <w:bCs/>
          <w:color w:val="auto"/>
          <w:spacing w:val="6"/>
          <w:sz w:val="32"/>
          <w:szCs w:val="32"/>
          <w:highlight w:val="none"/>
          <w:lang w:val="en-US" w:eastAsia="zh-CN"/>
        </w:rPr>
        <w:t>25.支持多种模式发展医养结合服务。</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 xml:space="preserve">在养老机构中加强老年病医院、康复医院、护理院和中医院等建设，养老机构举办二级及以下特定医疗机构的，设置审批与执业登记“两证合一”。推动医疗卫生机构设立养老机构或开展养老服务，在老年康复医院、护理院、临终关怀机构和综合医院等机构中加强老年病科室建设。推动具备条件的卫生院运营管理敬老院，实现“两院一体”。依托有条件的养老机构探索开展认知障碍服务项目及临终关怀专项服务，力争到2025年，全市建有至少1所提供临终关怀服务的专业机构。 </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67" w:firstLineChars="200"/>
        <w:textAlignment w:val="baseline"/>
        <w:rPr>
          <w:rFonts w:hint="default" w:ascii="方正仿宋_GBK" w:hAnsi="方正仿宋_GBK" w:eastAsia="方正仿宋_GBK" w:cs="方正仿宋_GBK"/>
          <w:i w:val="0"/>
          <w:caps w:val="0"/>
          <w:color w:val="auto"/>
          <w:spacing w:val="0"/>
          <w:kern w:val="0"/>
          <w:sz w:val="32"/>
          <w:szCs w:val="32"/>
          <w:highlight w:val="none"/>
          <w:lang w:val="en-US" w:eastAsia="zh-CN" w:bidi="ar"/>
        </w:rPr>
      </w:pPr>
      <w:r>
        <w:rPr>
          <w:rFonts w:hint="eastAsia" w:ascii="方正仿宋_GBK" w:hAnsi="方正仿宋_GBK" w:eastAsia="方正仿宋_GBK" w:cs="方正仿宋_GBK"/>
          <w:b/>
          <w:bCs/>
          <w:color w:val="auto"/>
          <w:spacing w:val="6"/>
          <w:sz w:val="32"/>
          <w:szCs w:val="32"/>
          <w:highlight w:val="none"/>
          <w:lang w:val="en-US" w:eastAsia="zh-CN"/>
        </w:rPr>
        <w:t>26.推进养老机构照护服务能力建设。</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提高养老机构护理型床位和认知障碍照护床位建设，推动实现失能特困老年人专业照护服务全覆盖，到2025年，全市建有至少1家具有医养结合功能的县级特困人员供养服务设施（敬老院）。推动农村医疗卫生机构利用现有富余床位开设康复、护理床位。探索对养老机构开设护理型床位提供补助。到2022年，基层医疗卫生机构护理床位占比达到30%；到2025年，全市二级及以上综合性医院设置老年医学科比例达到100%。到2025年，所有医疗机构开设为老年人提供挂号、就医等便利服务的绿色通道，基本构建养老、医疗、照护、康复、临终关怀等服务衔接补充的“医养结合”一体化服务模式。</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67" w:firstLineChars="200"/>
        <w:textAlignment w:val="baseline"/>
        <w:rPr>
          <w:rFonts w:hint="eastAsia" w:ascii="方正仿宋_GBK" w:hAnsi="方正仿宋_GBK" w:eastAsia="方正仿宋_GBK" w:cs="方正仿宋_GBK"/>
          <w:i w:val="0"/>
          <w:caps w:val="0"/>
          <w:color w:val="auto"/>
          <w:spacing w:val="0"/>
          <w:kern w:val="0"/>
          <w:sz w:val="32"/>
          <w:szCs w:val="32"/>
          <w:highlight w:val="none"/>
          <w:lang w:val="en-US" w:eastAsia="zh-CN" w:bidi="ar"/>
        </w:rPr>
      </w:pPr>
      <w:r>
        <w:rPr>
          <w:rFonts w:hint="eastAsia" w:ascii="方正仿宋_GBK" w:hAnsi="方正仿宋_GBK" w:eastAsia="方正仿宋_GBK" w:cs="方正仿宋_GBK"/>
          <w:b/>
          <w:bCs/>
          <w:color w:val="auto"/>
          <w:spacing w:val="6"/>
          <w:sz w:val="32"/>
          <w:szCs w:val="32"/>
          <w:highlight w:val="none"/>
          <w:lang w:val="en-US" w:eastAsia="zh-CN"/>
        </w:rPr>
        <w:t>27.发展“养老+商保”照护保障项目。</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实施江门市医养结合补充保险“邑康保”项目，全额资助鹤山市户籍60周岁及以上特殊困难老年人参保“邑康保”，通过定点养老服务机构服务提升失能老年人照护服务水平。</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67" w:firstLineChars="200"/>
        <w:textAlignment w:val="baseline"/>
        <w:rPr>
          <w:rFonts w:hint="default" w:ascii="方正仿宋_GBK" w:hAnsi="方正仿宋_GBK" w:eastAsia="方正仿宋_GBK" w:cs="方正仿宋_GBK"/>
          <w:i w:val="0"/>
          <w:caps w:val="0"/>
          <w:color w:val="auto"/>
          <w:spacing w:val="0"/>
          <w:kern w:val="0"/>
          <w:sz w:val="32"/>
          <w:szCs w:val="32"/>
          <w:highlight w:val="none"/>
          <w:lang w:val="en-US" w:eastAsia="zh-CN" w:bidi="ar"/>
        </w:rPr>
      </w:pPr>
      <w:r>
        <w:rPr>
          <w:rFonts w:hint="eastAsia" w:ascii="方正仿宋_GBK" w:hAnsi="方正仿宋_GBK" w:eastAsia="方正仿宋_GBK" w:cs="方正仿宋_GBK"/>
          <w:b/>
          <w:bCs/>
          <w:color w:val="auto"/>
          <w:spacing w:val="6"/>
          <w:sz w:val="32"/>
          <w:szCs w:val="32"/>
          <w:highlight w:val="none"/>
          <w:lang w:val="en-US" w:eastAsia="zh-CN"/>
        </w:rPr>
        <w:t>28.</w:t>
      </w:r>
      <w:r>
        <w:rPr>
          <w:rFonts w:hint="default" w:ascii="方正仿宋_GBK" w:hAnsi="方正仿宋_GBK" w:eastAsia="方正仿宋_GBK" w:cs="方正仿宋_GBK"/>
          <w:b/>
          <w:bCs/>
          <w:color w:val="auto"/>
          <w:spacing w:val="6"/>
          <w:sz w:val="32"/>
          <w:szCs w:val="32"/>
          <w:highlight w:val="none"/>
          <w:lang w:val="en-US" w:eastAsia="zh-CN"/>
        </w:rPr>
        <w:t>加强基层医疗卫生机构与社区养老服务机构规划建设。</w:t>
      </w:r>
      <w:r>
        <w:rPr>
          <w:rFonts w:hint="default" w:ascii="方正仿宋_GBK" w:hAnsi="方正仿宋_GBK" w:eastAsia="方正仿宋_GBK" w:cs="方正仿宋_GBK"/>
          <w:i w:val="0"/>
          <w:caps w:val="0"/>
          <w:color w:val="auto"/>
          <w:spacing w:val="0"/>
          <w:kern w:val="0"/>
          <w:sz w:val="32"/>
          <w:szCs w:val="32"/>
          <w:highlight w:val="none"/>
          <w:lang w:val="en-US" w:eastAsia="zh-CN" w:bidi="ar"/>
        </w:rPr>
        <w:t>整合社区养老服务机构与基层医疗卫生机构在场地、人力、服务等方面的资源，加强合作，实现基层医疗卫生机构与社区养老服务机构的有效对接。推动新建基层医疗卫生机构与养老服务机构、卫生院与敬老院等统筹规划、毗邻建设，推动改建、扩建一批居家社区医养结合服务设施，重点为失能老年人提供集中或居家医养结合服务。大力发展中医药康养服务，推广“中医院+社区基层卫生院+居家养老”模式。</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67" w:firstLineChars="200"/>
        <w:jc w:val="both"/>
        <w:textAlignment w:val="baseline"/>
        <w:rPr>
          <w:rFonts w:hint="eastAsia" w:ascii="方正仿宋_GBK" w:hAnsi="方正仿宋_GBK" w:eastAsia="方正仿宋_GBK" w:cs="方正仿宋_GBK"/>
          <w:i w:val="0"/>
          <w:caps w:val="0"/>
          <w:color w:val="auto"/>
          <w:spacing w:val="0"/>
          <w:kern w:val="0"/>
          <w:sz w:val="32"/>
          <w:szCs w:val="32"/>
          <w:highlight w:val="none"/>
          <w:lang w:val="en-US" w:eastAsia="zh-CN" w:bidi="ar"/>
        </w:rPr>
      </w:pPr>
      <w:r>
        <w:rPr>
          <w:rFonts w:hint="eastAsia" w:ascii="方正仿宋_GBK" w:hAnsi="方正仿宋_GBK" w:eastAsia="方正仿宋_GBK" w:cs="方正仿宋_GBK"/>
          <w:b/>
          <w:bCs/>
          <w:color w:val="auto"/>
          <w:spacing w:val="6"/>
          <w:sz w:val="32"/>
          <w:szCs w:val="32"/>
          <w:highlight w:val="none"/>
          <w:lang w:val="en-US" w:eastAsia="zh-CN"/>
        </w:rPr>
        <w:t>29</w:t>
      </w:r>
      <w:r>
        <w:rPr>
          <w:rFonts w:hint="default" w:ascii="方正仿宋_GBK" w:hAnsi="方正仿宋_GBK" w:eastAsia="方正仿宋_GBK" w:cs="方正仿宋_GBK"/>
          <w:b/>
          <w:bCs/>
          <w:color w:val="auto"/>
          <w:spacing w:val="6"/>
          <w:sz w:val="32"/>
          <w:szCs w:val="32"/>
          <w:highlight w:val="none"/>
          <w:lang w:val="en-US" w:eastAsia="zh-CN"/>
        </w:rPr>
        <w:t>.丰富</w:t>
      </w:r>
      <w:r>
        <w:rPr>
          <w:rFonts w:hint="eastAsia" w:ascii="方正仿宋_GBK" w:hAnsi="方正仿宋_GBK" w:eastAsia="方正仿宋_GBK" w:cs="方正仿宋_GBK"/>
          <w:b/>
          <w:bCs/>
          <w:color w:val="auto"/>
          <w:spacing w:val="6"/>
          <w:sz w:val="32"/>
          <w:szCs w:val="32"/>
          <w:highlight w:val="none"/>
          <w:lang w:val="en-US" w:eastAsia="zh-CN"/>
        </w:rPr>
        <w:t>社区医养</w:t>
      </w:r>
      <w:r>
        <w:rPr>
          <w:rFonts w:hint="default" w:ascii="方正仿宋_GBK" w:hAnsi="方正仿宋_GBK" w:eastAsia="方正仿宋_GBK" w:cs="方正仿宋_GBK"/>
          <w:b/>
          <w:bCs/>
          <w:color w:val="auto"/>
          <w:spacing w:val="6"/>
          <w:sz w:val="32"/>
          <w:szCs w:val="32"/>
          <w:highlight w:val="none"/>
          <w:lang w:val="en-US" w:eastAsia="zh-CN"/>
        </w:rPr>
        <w:t>服务内容。</w:t>
      </w:r>
      <w:r>
        <w:rPr>
          <w:rFonts w:hint="default" w:ascii="方正仿宋_GBK" w:hAnsi="方正仿宋_GBK" w:eastAsia="方正仿宋_GBK" w:cs="方正仿宋_GBK"/>
          <w:i w:val="0"/>
          <w:caps w:val="0"/>
          <w:color w:val="auto"/>
          <w:spacing w:val="0"/>
          <w:kern w:val="0"/>
          <w:sz w:val="32"/>
          <w:szCs w:val="32"/>
          <w:highlight w:val="none"/>
          <w:lang w:val="en-US" w:eastAsia="zh-CN" w:bidi="ar"/>
        </w:rPr>
        <w:t>依托基层医疗卫生机构开展护理服务，大力推进家庭病床建设，聚焦为失能老年人提供适宜、持续的长期照护服务。扩大家庭病床病种范围，做实家庭医生签约服务，推进“互联网+护理”便捷服务。发展居家养老助残服务“平安通”平台，链接医疗机构资源，通过“互联网+护理”等方式，推动医疗机构医务工作者为符合条件的居家高龄、失能、失智老年人提供家庭病床、巡诊等医疗服务。依托有条件的居家社区养老服务站点、养老机构探索开展认知障碍专项服务，制定相应服务设施、服务规范、人员培训等标准，力争到202</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5</w:t>
      </w:r>
      <w:r>
        <w:rPr>
          <w:rFonts w:hint="default" w:ascii="方正仿宋_GBK" w:hAnsi="方正仿宋_GBK" w:eastAsia="方正仿宋_GBK" w:cs="方正仿宋_GBK"/>
          <w:i w:val="0"/>
          <w:caps w:val="0"/>
          <w:color w:val="auto"/>
          <w:spacing w:val="0"/>
          <w:kern w:val="0"/>
          <w:sz w:val="32"/>
          <w:szCs w:val="32"/>
          <w:highlight w:val="none"/>
          <w:lang w:val="en-US" w:eastAsia="zh-CN" w:bidi="ar"/>
        </w:rPr>
        <w:t>年，</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全市</w:t>
      </w:r>
      <w:r>
        <w:rPr>
          <w:rFonts w:hint="default" w:ascii="方正仿宋_GBK" w:hAnsi="方正仿宋_GBK" w:eastAsia="方正仿宋_GBK" w:cs="方正仿宋_GBK"/>
          <w:i w:val="0"/>
          <w:caps w:val="0"/>
          <w:color w:val="auto"/>
          <w:spacing w:val="0"/>
          <w:kern w:val="0"/>
          <w:sz w:val="32"/>
          <w:szCs w:val="32"/>
          <w:highlight w:val="none"/>
          <w:lang w:val="en-US" w:eastAsia="zh-CN" w:bidi="ar"/>
        </w:rPr>
        <w:t>建有至少1所提供认知障碍服务的专业机构</w:t>
      </w:r>
      <w:r>
        <w:rPr>
          <w:rFonts w:hint="eastAsia" w:ascii="方正仿宋_GBK" w:hAnsi="方正仿宋_GBK" w:eastAsia="方正仿宋_GBK" w:cs="方正仿宋_GBK"/>
          <w:i w:val="0"/>
          <w:caps w:val="0"/>
          <w:color w:val="auto"/>
          <w:spacing w:val="0"/>
          <w:kern w:val="0"/>
          <w:sz w:val="32"/>
          <w:szCs w:val="32"/>
          <w:highlight w:val="none"/>
          <w:lang w:val="en-US" w:eastAsia="zh-CN" w:bidi="ar"/>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820" w:type="dxa"/>
            <w:vAlign w:val="center"/>
          </w:tcPr>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jc w:val="center"/>
              <w:textAlignment w:val="baseline"/>
              <w:rPr>
                <w:rFonts w:hint="eastAsia" w:ascii="方正仿宋_GBK" w:hAnsi="方正仿宋_GBK" w:eastAsia="方正仿宋_GBK" w:cs="方正仿宋_GBK"/>
                <w:i w:val="0"/>
                <w:caps w:val="0"/>
                <w:color w:val="auto"/>
                <w:spacing w:val="0"/>
                <w:kern w:val="0"/>
                <w:sz w:val="24"/>
                <w:szCs w:val="24"/>
                <w:highlight w:val="none"/>
                <w:vertAlign w:val="baseline"/>
                <w:lang w:val="en-US" w:eastAsia="zh-CN" w:bidi="ar"/>
              </w:rPr>
            </w:pPr>
            <w:r>
              <w:rPr>
                <w:rFonts w:hint="eastAsia" w:ascii="方正仿宋_GBK" w:hAnsi="方正仿宋_GBK" w:eastAsia="方正仿宋_GBK" w:cs="方正仿宋_GBK"/>
                <w:b/>
                <w:bCs/>
                <w:color w:val="auto"/>
                <w:sz w:val="28"/>
                <w:szCs w:val="28"/>
                <w:highlight w:val="none"/>
                <w:lang w:eastAsia="zh-CN"/>
              </w:rPr>
              <w:t>专栏</w:t>
            </w:r>
            <w:r>
              <w:rPr>
                <w:rFonts w:hint="eastAsia" w:ascii="方正仿宋_GBK" w:hAnsi="方正仿宋_GBK" w:eastAsia="方正仿宋_GBK" w:cs="方正仿宋_GBK"/>
                <w:b/>
                <w:bCs/>
                <w:color w:val="auto"/>
                <w:sz w:val="28"/>
                <w:szCs w:val="28"/>
                <w:highlight w:val="none"/>
                <w:lang w:val="en-US" w:eastAsia="zh-CN"/>
              </w:rPr>
              <w:t>9：“十四五”期间鹤山市医养结合医疗卫生机构建设目标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5" w:hRule="atLeast"/>
          <w:jc w:val="center"/>
        </w:trPr>
        <w:tc>
          <w:tcPr>
            <w:tcW w:w="8820" w:type="dxa"/>
            <w:vAlign w:val="center"/>
          </w:tcPr>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jc w:val="left"/>
              <w:textAlignment w:val="baseline"/>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t>1.到2025年，全市建有至少1家具有医养结合功能的县级特困人员供养服务设施（敬老院）</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jc w:val="left"/>
              <w:textAlignment w:val="baseline"/>
              <w:rPr>
                <w:rFonts w:hint="eastAsia" w:ascii="方正仿宋_GBK" w:hAnsi="方正仿宋_GBK" w:eastAsia="方正仿宋_GBK" w:cs="方正仿宋_GBK"/>
                <w:i w:val="0"/>
                <w:caps w:val="0"/>
                <w:color w:val="auto"/>
                <w:spacing w:val="0"/>
                <w:kern w:val="0"/>
                <w:sz w:val="28"/>
                <w:szCs w:val="28"/>
                <w:highlight w:val="no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t>2.</w:t>
            </w:r>
            <w:r>
              <w:rPr>
                <w:rFonts w:hint="eastAsia" w:ascii="方正仿宋_GBK" w:hAnsi="方正仿宋_GBK" w:eastAsia="方正仿宋_GBK" w:cs="方正仿宋_GBK"/>
                <w:i w:val="0"/>
                <w:caps w:val="0"/>
                <w:color w:val="auto"/>
                <w:spacing w:val="0"/>
                <w:kern w:val="0"/>
                <w:sz w:val="28"/>
                <w:szCs w:val="28"/>
                <w:highlight w:val="none"/>
                <w:lang w:val="en-US" w:eastAsia="zh-CN" w:bidi="ar"/>
              </w:rPr>
              <w:t>到2022年，基层医疗卫生机构护理床位占比达到30%；到2025年，全市二级及以上综合性医院设置老年医学科比例达到100%；</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jc w:val="left"/>
              <w:textAlignment w:val="baseline"/>
              <w:rPr>
                <w:rFonts w:hint="eastAsia" w:ascii="方正仿宋_GBK" w:hAnsi="方正仿宋_GBK" w:eastAsia="方正仿宋_GBK" w:cs="方正仿宋_GBK"/>
                <w:i w:val="0"/>
                <w:caps w:val="0"/>
                <w:color w:val="auto"/>
                <w:spacing w:val="0"/>
                <w:kern w:val="0"/>
                <w:sz w:val="28"/>
                <w:szCs w:val="28"/>
                <w:highlight w:val="no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lang w:val="en-US" w:eastAsia="zh-CN" w:bidi="ar"/>
              </w:rPr>
              <w:t>3.力争到2025年，全市建有至少1所提供临终关怀服务的专业机构；</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jc w:val="left"/>
              <w:textAlignment w:val="baseline"/>
              <w:rPr>
                <w:rFonts w:hint="eastAsia" w:ascii="方正仿宋_GBK" w:hAnsi="方正仿宋_GBK" w:eastAsia="方正仿宋_GBK" w:cs="方正仿宋_GBK"/>
                <w:i w:val="0"/>
                <w:caps w:val="0"/>
                <w:color w:val="auto"/>
                <w:spacing w:val="0"/>
                <w:kern w:val="0"/>
                <w:sz w:val="28"/>
                <w:szCs w:val="28"/>
                <w:highlight w:val="no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lang w:val="en-US" w:eastAsia="zh-CN" w:bidi="ar"/>
              </w:rPr>
              <w:t>4.力争到2025年，全市建有至少1所提供认知障碍服务的专业机构；</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jc w:val="left"/>
              <w:textAlignment w:val="baseline"/>
              <w:rPr>
                <w:rFonts w:hint="eastAsia" w:ascii="方正仿宋_GBK" w:hAnsi="方正仿宋_GBK" w:eastAsia="方正仿宋_GBK" w:cs="方正仿宋_GBK"/>
                <w:i w:val="0"/>
                <w:caps w:val="0"/>
                <w:color w:val="auto"/>
                <w:spacing w:val="0"/>
                <w:kern w:val="0"/>
                <w:sz w:val="28"/>
                <w:szCs w:val="28"/>
                <w:highlight w:val="no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lang w:val="en-US" w:eastAsia="zh-CN" w:bidi="ar"/>
              </w:rPr>
              <w:t>5.实施江门市医养结合补充保险“邑康保”项目。</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jc w:val="left"/>
              <w:textAlignment w:val="baseline"/>
              <w:rPr>
                <w:rFonts w:hint="default" w:ascii="方正仿宋_GBK" w:hAnsi="方正仿宋_GBK" w:eastAsia="方正仿宋_GBK" w:cs="方正仿宋_GBK"/>
                <w:i w:val="0"/>
                <w:caps w:val="0"/>
                <w:color w:val="auto"/>
                <w:spacing w:val="0"/>
                <w:kern w:val="0"/>
                <w:sz w:val="28"/>
                <w:szCs w:val="28"/>
                <w:highlight w:val="none"/>
                <w:lang w:val="en-US" w:eastAsia="zh-CN" w:bidi="ar"/>
              </w:rPr>
            </w:pPr>
            <w:r>
              <w:rPr>
                <w:rFonts w:hint="eastAsia" w:ascii="方正仿宋_GBK" w:hAnsi="方正仿宋_GBK" w:eastAsia="方正仿宋_GBK" w:cs="方正仿宋_GBK"/>
                <w:i w:val="0"/>
                <w:caps w:val="0"/>
                <w:color w:val="auto"/>
                <w:spacing w:val="0"/>
                <w:kern w:val="0"/>
                <w:sz w:val="28"/>
                <w:szCs w:val="28"/>
                <w:highlight w:val="none"/>
                <w:vertAlign w:val="baseline"/>
                <w:lang w:val="en-US" w:eastAsia="zh-CN" w:bidi="ar"/>
              </w:rPr>
              <w:t>6.建设共和镇养老服务中心，完善双合镇卫生院康泰缘服务中心。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Style w:val="37"/>
          <w:rFonts w:hint="eastAsia" w:ascii="方正仿宋_GBK" w:hAnsi="方正仿宋_GBK" w:eastAsia="方正仿宋_GBK" w:cs="方正仿宋_GBK"/>
          <w:color w:val="auto"/>
          <w:kern w:val="0"/>
          <w:sz w:val="32"/>
          <w:szCs w:val="32"/>
          <w:highlight w:val="none"/>
          <w:lang w:val="en-US" w:eastAsia="zh-CN" w:bidi="ar"/>
        </w:rPr>
      </w:pPr>
      <w:r>
        <w:rPr>
          <w:rStyle w:val="37"/>
          <w:rFonts w:hint="eastAsia" w:ascii="方正仿宋_GBK" w:hAnsi="方正仿宋_GBK" w:eastAsia="方正仿宋_GBK" w:cs="方正仿宋_GBK"/>
          <w:color w:val="auto"/>
          <w:kern w:val="0"/>
          <w:sz w:val="32"/>
          <w:szCs w:val="32"/>
          <w:highlight w:val="none"/>
          <w:lang w:val="en-US" w:eastAsia="zh-CN" w:bidi="ar"/>
        </w:rPr>
        <w:t>（三）加强政策支持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highlight w:val="none"/>
          <w:lang w:val="en-US" w:eastAsia="zh-CN" w:bidi="ar-SA"/>
        </w:rPr>
        <w:t>30.加大财税支持。</w:t>
      </w:r>
      <w:r>
        <w:rPr>
          <w:rFonts w:hint="eastAsia" w:ascii="方正仿宋_GBK" w:hAnsi="方正仿宋_GBK" w:eastAsia="方正仿宋_GBK" w:cs="方正仿宋_GBK"/>
          <w:color w:val="auto"/>
          <w:kern w:val="2"/>
          <w:sz w:val="32"/>
          <w:szCs w:val="32"/>
          <w:highlight w:val="none"/>
          <w:lang w:val="en-US" w:eastAsia="zh-CN" w:bidi="ar-SA"/>
        </w:rPr>
        <w:t>完善财政投入机制，发挥财政资金在支持养老服务发展方面的促进示范作用，落实税费优惠政策。落实养老体系市、镇（街）两级财政预算保障，市本级社会福利的彩票公益金55%以上用于支持养老服务发展。落实民办社会福利机构扶持优惠政策。加快落实养老服务机构减降税费优惠，保障为社区提供养老服务的机构，按规定在增值税、企业所得税、契税、房产税、城镇土地使用税、不动产登记费等方面享受优惠，养老服务机构服务场所用电、用水、用气享受居民价格政策。</w:t>
      </w:r>
    </w:p>
    <w:p>
      <w:pPr>
        <w:pStyle w:val="2"/>
        <w:rPr>
          <w:rFonts w:hint="default"/>
          <w:highlight w:val="none"/>
          <w:lang w:val="en-US" w:eastAsia="zh-CN"/>
        </w:rPr>
      </w:pPr>
      <w:r>
        <w:rPr>
          <w:rFonts w:hint="eastAsia"/>
          <w:highlight w:val="none"/>
          <w:lang w:val="en-US" w:eastAsia="zh-CN"/>
        </w:rPr>
        <w:t xml:space="preserve"> </w:t>
      </w:r>
      <w:r>
        <w:rPr>
          <w:rFonts w:hint="eastAsia" w:ascii="方正仿宋_GBK" w:hAnsi="方正仿宋_GBK" w:eastAsia="方正仿宋_GBK" w:cs="方正仿宋_GBK"/>
          <w:b/>
          <w:bCs/>
          <w:color w:val="auto"/>
          <w:kern w:val="2"/>
          <w:sz w:val="32"/>
          <w:szCs w:val="32"/>
          <w:highlight w:val="none"/>
          <w:lang w:val="en-US" w:eastAsia="zh-CN" w:bidi="ar-SA"/>
        </w:rPr>
        <w:t>31.大力发展银发经济。</w:t>
      </w:r>
      <w:r>
        <w:rPr>
          <w:rFonts w:hint="eastAsia" w:ascii="方正仿宋_GBK" w:hAnsi="方正仿宋_GBK" w:eastAsia="方正仿宋_GBK" w:cs="方正仿宋_GBK"/>
          <w:color w:val="auto"/>
          <w:kern w:val="2"/>
          <w:sz w:val="32"/>
          <w:szCs w:val="32"/>
          <w:highlight w:val="none"/>
          <w:lang w:val="en-US" w:eastAsia="zh-CN" w:bidi="ar-SA"/>
        </w:rPr>
        <w:t>发展壮大老年用品产业，促进养老服务产业升级。健全养老服务市场规范和行业标准，确保养老服务和产品质量，营造安全、便利、诚信的养老服务消费环境。大力推动“养老+行业”多元融合，促进养老与文化、教育、体育、家政、医疗、保险、旅游等行业全面融合发展，探索发展旅居养老、文化养老、健康养老、养生养老等新兴业态，为老年人提供多样化、多选择的产品和服务。</w:t>
      </w:r>
    </w:p>
    <w:p>
      <w:pPr>
        <w:pStyle w:val="5"/>
        <w:keepNext/>
        <w:keepLines/>
        <w:pageBreakBefore w:val="0"/>
        <w:widowControl w:val="0"/>
        <w:kinsoku/>
        <w:wordWrap/>
        <w:overflowPunct/>
        <w:topLinePunct w:val="0"/>
        <w:autoSpaceDE/>
        <w:autoSpaceDN/>
        <w:bidi w:val="0"/>
        <w:adjustRightInd w:val="0"/>
        <w:snapToGrid w:val="0"/>
        <w:spacing w:before="0" w:after="0" w:line="560" w:lineRule="exact"/>
        <w:ind w:firstLine="643"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七、建立健全养老服务监管机制</w:t>
      </w:r>
    </w:p>
    <w:p>
      <w:pPr>
        <w:pStyle w:val="2"/>
        <w:keepNext w:val="0"/>
        <w:keepLines w:val="0"/>
        <w:pageBreakBefore w:val="0"/>
        <w:widowControl w:val="0"/>
        <w:numPr>
          <w:ilvl w:val="0"/>
          <w:numId w:val="0"/>
        </w:numPr>
        <w:tabs>
          <w:tab w:val="left" w:pos="3256"/>
        </w:tabs>
        <w:kinsoku/>
        <w:wordWrap/>
        <w:overflowPunct/>
        <w:topLinePunct w:val="0"/>
        <w:autoSpaceDE/>
        <w:autoSpaceDN/>
        <w:bidi w:val="0"/>
        <w:adjustRightInd w:val="0"/>
        <w:snapToGrid w:val="0"/>
        <w:spacing w:line="560" w:lineRule="exact"/>
        <w:ind w:firstLine="643" w:firstLineChars="200"/>
        <w:textAlignment w:val="baseline"/>
        <w:rPr>
          <w:rFonts w:hint="eastAsia" w:ascii="方正仿宋_GBK" w:hAnsi="方正仿宋_GBK" w:eastAsia="方正仿宋_GBK" w:cs="方正仿宋_GBK"/>
          <w:b w:val="0"/>
          <w:bCs w:val="0"/>
          <w:color w:val="auto"/>
          <w:sz w:val="32"/>
          <w:szCs w:val="32"/>
          <w:highlight w:val="none"/>
          <w:lang w:val="en-US" w:eastAsia="zh-CN"/>
        </w:rPr>
      </w:pPr>
      <w:r>
        <w:rPr>
          <w:rStyle w:val="37"/>
          <w:rFonts w:hint="eastAsia" w:ascii="方正仿宋_GBK" w:hAnsi="方正仿宋_GBK" w:eastAsia="方正仿宋_GBK" w:cs="方正仿宋_GBK"/>
          <w:b/>
          <w:color w:val="auto"/>
          <w:kern w:val="0"/>
          <w:sz w:val="32"/>
          <w:szCs w:val="32"/>
          <w:highlight w:val="none"/>
          <w:lang w:val="en-US" w:eastAsia="zh-CN" w:bidi="ar"/>
        </w:rPr>
        <w:t>32.聚焦养老服务监管重点领域</w:t>
      </w:r>
      <w:r>
        <w:rPr>
          <w:rFonts w:hint="eastAsia" w:ascii="方正仿宋_GBK" w:hAnsi="方正仿宋_GBK" w:eastAsia="方正仿宋_GBK" w:cs="方正仿宋_GBK"/>
          <w:b/>
          <w:bCs/>
          <w:color w:val="auto"/>
          <w:spacing w:val="6"/>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深化养老服务领域“放管服”改革，全面加强养老服务市场“宽进严管”，建立健全政府主导、机构主责、部门协同、行业自律、社会监督的养老服务综合监管制度。</w:t>
      </w:r>
      <w:r>
        <w:rPr>
          <w:rFonts w:hint="eastAsia" w:ascii="方正仿宋_GBK" w:hAnsi="方正仿宋_GBK" w:eastAsia="方正仿宋_GBK" w:cs="方正仿宋_GBK"/>
          <w:b w:val="0"/>
          <w:bCs w:val="0"/>
          <w:color w:val="auto"/>
          <w:sz w:val="32"/>
          <w:szCs w:val="32"/>
          <w:highlight w:val="none"/>
          <w:lang w:val="zh-CN" w:eastAsia="zh-CN"/>
        </w:rPr>
        <w:t>聚焦老年人生命财产安全和服务质量，</w:t>
      </w:r>
      <w:r>
        <w:rPr>
          <w:rFonts w:hint="eastAsia" w:ascii="方正仿宋_GBK" w:hAnsi="方正仿宋_GBK" w:eastAsia="方正仿宋_GBK" w:cs="方正仿宋_GBK"/>
          <w:b w:val="0"/>
          <w:bCs w:val="0"/>
          <w:color w:val="auto"/>
          <w:sz w:val="32"/>
          <w:szCs w:val="32"/>
          <w:highlight w:val="none"/>
          <w:lang w:val="en-US" w:eastAsia="zh-CN"/>
        </w:rPr>
        <w:t>主动防范化解养老服务机构在建筑、消防、资金、人员、食品、医疗卫生等方面的风险隐患，及时化解潜在的重大安全风险。加强对运营秩序的监督检查，依法打击无证无照从事养老服务的行为，及时制止并依法查处各类未注册营业执照以市场主体名义或未登记备案以社会服务机构名义开展的养老服务活动及其举办主体。加强对涉及资金的审计检查，对养老服务机构合法合规使用财政资金情况及其真实性、准确性和效益性进行跟踪审计，依法打击弄虚作假、骗取补贴、挤占挪用等违法违规行为；加强养老服务机构预收费监管，依法打击以养老服务名义进行非法集资的活动。开展老年人产品和服务消费领域侵权行为专项整治，严厉查处面向老年人的假冒伪劣商品制售、产品服务欺诈销售等违法行为。广泛开展老年人识骗防骗宣传教育活动，提升老年人抵御欺诈销售意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3" w:firstLineChars="200"/>
        <w:textAlignment w:val="auto"/>
        <w:outlineLvl w:val="2"/>
        <w:rPr>
          <w:rFonts w:hint="eastAsia" w:ascii="方正仿宋_GBK" w:hAnsi="方正仿宋_GBK" w:eastAsia="方正仿宋_GBK" w:cs="方正仿宋_GBK"/>
          <w:color w:val="auto"/>
          <w:spacing w:val="6"/>
          <w:kern w:val="2"/>
          <w:sz w:val="32"/>
          <w:szCs w:val="32"/>
          <w:highlight w:val="none"/>
          <w:lang w:val="en-US" w:eastAsia="zh-CN" w:bidi="ar-SA"/>
        </w:rPr>
      </w:pPr>
      <w:r>
        <w:rPr>
          <w:rStyle w:val="37"/>
          <w:rFonts w:hint="eastAsia" w:ascii="方正仿宋_GBK" w:hAnsi="方正仿宋_GBK" w:eastAsia="方正仿宋_GBK" w:cs="方正仿宋_GBK"/>
          <w:color w:val="auto"/>
          <w:kern w:val="0"/>
          <w:sz w:val="32"/>
          <w:szCs w:val="32"/>
          <w:highlight w:val="none"/>
          <w:lang w:val="en-US" w:eastAsia="zh-CN" w:bidi="ar"/>
        </w:rPr>
        <w:t>33.创新养老服务监管方式</w:t>
      </w:r>
      <w:r>
        <w:rPr>
          <w:rFonts w:hint="eastAsia" w:ascii="方正仿宋_GBK" w:hAnsi="方正仿宋_GBK" w:eastAsia="方正仿宋_GBK" w:cs="方正仿宋_GBK"/>
          <w:color w:val="auto"/>
          <w:spacing w:val="6"/>
          <w:kern w:val="2"/>
          <w:sz w:val="32"/>
          <w:szCs w:val="32"/>
          <w:highlight w:val="none"/>
          <w:lang w:val="en-US" w:eastAsia="zh-CN" w:bidi="ar-SA"/>
        </w:rPr>
        <w:t>。依法落实属地监管职责，不断加强对养老机构的指导、监督管理力度，构建以“双随机、一公开”、日常监督检查为基本手段、以重点监管为补充、以标准规范和信用监管为基础的新型监管机制，坚持规范监管、公正执法。推进养老服务领域社会信用体系建设。建立健全守信联合激励和失信联合惩戒机制，依法依规对守信主体提供优惠政策和便利条件，对存在严重失信行为的养老服务机构及人员实施联合惩戒。</w:t>
      </w:r>
      <w:r>
        <w:rPr>
          <w:rFonts w:hint="eastAsia" w:ascii="方正仿宋_GBK" w:hAnsi="方正仿宋_GBK" w:eastAsia="方正仿宋_GBK" w:cs="方正仿宋_GBK"/>
          <w:color w:val="auto"/>
          <w:spacing w:val="6"/>
          <w:kern w:val="2"/>
          <w:sz w:val="32"/>
          <w:szCs w:val="32"/>
          <w:highlight w:val="none"/>
          <w:u w:val="none"/>
          <w:lang w:val="en-US" w:eastAsia="zh-CN" w:bidi="ar-SA"/>
        </w:rPr>
        <w:t>探索开展养老服务机构公共信用综合评价，根据评价结果建立养老服务机构信用等级，并作为养老机构等级评定和采取差异化监管措施的重要依据。</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3" w:firstLineChars="200"/>
        <w:textAlignment w:val="auto"/>
        <w:outlineLvl w:val="2"/>
        <w:rPr>
          <w:rFonts w:hint="eastAsia" w:ascii="方正仿宋_GBK" w:hAnsi="方正仿宋_GBK" w:eastAsia="方正仿宋_GBK" w:cs="方正仿宋_GBK"/>
          <w:color w:val="auto"/>
          <w:sz w:val="32"/>
          <w:szCs w:val="32"/>
          <w:highlight w:val="none"/>
        </w:rPr>
      </w:pPr>
      <w:r>
        <w:rPr>
          <w:rStyle w:val="37"/>
          <w:rFonts w:hint="eastAsia" w:ascii="方正仿宋_GBK" w:hAnsi="方正仿宋_GBK" w:eastAsia="方正仿宋_GBK" w:cs="方正仿宋_GBK"/>
          <w:color w:val="auto"/>
          <w:kern w:val="0"/>
          <w:sz w:val="32"/>
          <w:szCs w:val="32"/>
          <w:highlight w:val="none"/>
          <w:lang w:val="en-US" w:eastAsia="zh-CN" w:bidi="ar"/>
        </w:rPr>
        <w:t>34.提升养老服务领域应急管理水平</w:t>
      </w:r>
      <w:r>
        <w:rPr>
          <w:rFonts w:hint="eastAsia" w:ascii="方正仿宋_GBK" w:hAnsi="方正仿宋_GBK" w:eastAsia="方正仿宋_GBK" w:cs="方正仿宋_GBK"/>
          <w:b/>
          <w:bCs/>
          <w:color w:val="auto"/>
          <w:spacing w:val="6"/>
          <w:kern w:val="2"/>
          <w:sz w:val="32"/>
          <w:szCs w:val="32"/>
          <w:highlight w:val="none"/>
          <w:lang w:val="en-US" w:eastAsia="zh-CN" w:bidi="ar-SA"/>
        </w:rPr>
        <w:t>。</w:t>
      </w:r>
      <w:r>
        <w:rPr>
          <w:rFonts w:hint="eastAsia" w:ascii="方正仿宋_GBK" w:hAnsi="方正仿宋_GBK" w:eastAsia="方正仿宋_GBK" w:cs="方正仿宋_GBK"/>
          <w:color w:val="auto"/>
          <w:spacing w:val="6"/>
          <w:kern w:val="2"/>
          <w:sz w:val="32"/>
          <w:szCs w:val="32"/>
          <w:highlight w:val="none"/>
          <w:lang w:val="en-US" w:eastAsia="zh-CN" w:bidi="ar-SA"/>
        </w:rPr>
        <w:t>加强突发事件应对，引导养老服务机构增强风险防范意识和应对处置能力。推进养老服务突发事件应急管理机制建设，强化系统规范的突发事件应急管理程序，强化分级分类的安全风险监测预警，强化传染性突发公共卫生事件的预防控制，强化快速响应的救援支援处置，全面提升养老服务领域突发事件监测预警、应急处置、应急救援、恢复重建等应急管理能力。加大养老服务机构开展传染病疫情防控工作力度，坚持预防为主，探索建立预防养老机构院感工作机制，精心落实老年人个人防护的各项措施。突出抓好常态化疫情防控工作，落实养老服务机构传染病疫情防控报告制度，并在有关部门和机构指导下采取卫生处理、隔离等预防控制措施。</w:t>
      </w:r>
      <w:r>
        <w:rPr>
          <w:rFonts w:hint="eastAsia" w:ascii="方正仿宋_GBK" w:hAnsi="方正仿宋_GBK" w:eastAsia="方正仿宋_GBK" w:cs="方正仿宋_GBK"/>
          <w:color w:val="auto"/>
          <w:sz w:val="32"/>
          <w:szCs w:val="32"/>
          <w:highlight w:val="none"/>
        </w:rPr>
        <w:br w:type="page"/>
      </w:r>
    </w:p>
    <w:p>
      <w:pPr>
        <w:pStyle w:val="4"/>
        <w:pageBreakBefore w:val="0"/>
        <w:kinsoku/>
        <w:wordWrap/>
        <w:overflowPunct/>
        <w:topLinePunct w:val="0"/>
        <w:autoSpaceDE/>
        <w:autoSpaceDN/>
        <w:bidi w:val="0"/>
        <w:spacing w:line="560" w:lineRule="exact"/>
        <w:jc w:val="center"/>
        <w:rPr>
          <w:rFonts w:hint="eastAsia" w:ascii="方正黑体_GBK" w:hAnsi="方正黑体_GBK" w:eastAsia="方正黑体_GBK" w:cs="方正黑体_GBK"/>
          <w:color w:val="auto"/>
          <w:sz w:val="44"/>
          <w:szCs w:val="44"/>
          <w:highlight w:val="none"/>
        </w:rPr>
      </w:pPr>
      <w:r>
        <w:rPr>
          <w:rFonts w:hint="eastAsia" w:ascii="方正黑体_GBK" w:hAnsi="方正黑体_GBK" w:eastAsia="方正黑体_GBK" w:cs="方正黑体_GBK"/>
          <w:color w:val="auto"/>
          <w:sz w:val="44"/>
          <w:szCs w:val="44"/>
          <w:highlight w:val="none"/>
        </w:rPr>
        <w:t>第五章 保障措施</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仿宋_GBK" w:hAnsi="方正仿宋_GBK" w:eastAsia="方正仿宋_GBK" w:cs="方正仿宋_GBK"/>
          <w:color w:val="auto"/>
          <w:sz w:val="32"/>
          <w:szCs w:val="32"/>
          <w:highlight w:val="none"/>
          <w:lang w:val="en-US" w:eastAsia="zh-CN"/>
        </w:rPr>
      </w:pPr>
      <w:r>
        <w:rPr>
          <w:rStyle w:val="33"/>
          <w:rFonts w:hint="eastAsia" w:ascii="方正仿宋_GBK" w:hAnsi="方正仿宋_GBK" w:eastAsia="方正仿宋_GBK" w:cs="方正仿宋_GBK"/>
          <w:color w:val="auto"/>
          <w:sz w:val="32"/>
          <w:szCs w:val="32"/>
          <w:highlight w:val="none"/>
        </w:rPr>
        <w:t>一</w:t>
      </w:r>
      <w:r>
        <w:rPr>
          <w:rStyle w:val="33"/>
          <w:rFonts w:hint="eastAsia" w:ascii="方正仿宋_GBK" w:hAnsi="方正仿宋_GBK" w:eastAsia="方正仿宋_GBK" w:cs="方正仿宋_GBK"/>
          <w:color w:val="auto"/>
          <w:sz w:val="32"/>
          <w:szCs w:val="32"/>
          <w:highlight w:val="none"/>
          <w:lang w:eastAsia="zh-CN"/>
        </w:rPr>
        <w:t>、</w:t>
      </w:r>
      <w:r>
        <w:rPr>
          <w:rStyle w:val="33"/>
          <w:rFonts w:hint="eastAsia" w:ascii="方正仿宋_GBK" w:hAnsi="方正仿宋_GBK" w:eastAsia="方正仿宋_GBK" w:cs="方正仿宋_GBK"/>
          <w:color w:val="auto"/>
          <w:sz w:val="32"/>
          <w:szCs w:val="32"/>
          <w:highlight w:val="none"/>
        </w:rPr>
        <w:t>加强组织领导</w:t>
      </w:r>
      <w:r>
        <w:rPr>
          <w:rFonts w:hint="eastAsia" w:ascii="方正仿宋_GBK" w:hAnsi="方正仿宋_GBK" w:eastAsia="方正仿宋_GBK" w:cs="方正仿宋_GBK"/>
          <w:b/>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各部门要提高政治站位，充分认识积极应对人口老龄化、推动养老服务高质量发展的重要性，进一步健全党委领导、政府主导、社会协同、市场参与的养老服务工作机制。建立养老服务联席工作会议制度，加强工作领导、明确责任分工，</w:t>
      </w:r>
      <w:r>
        <w:rPr>
          <w:rFonts w:hint="eastAsia" w:ascii="方正仿宋_GBK" w:hAnsi="方正仿宋_GBK" w:eastAsia="方正仿宋_GBK" w:cs="方正仿宋_GBK"/>
          <w:color w:val="auto"/>
          <w:sz w:val="32"/>
          <w:szCs w:val="32"/>
          <w:highlight w:val="none"/>
        </w:rPr>
        <w:t>建立</w:t>
      </w:r>
      <w:r>
        <w:rPr>
          <w:rFonts w:hint="eastAsia" w:ascii="方正仿宋_GBK" w:hAnsi="方正仿宋_GBK" w:eastAsia="方正仿宋_GBK" w:cs="方正仿宋_GBK"/>
          <w:color w:val="auto"/>
          <w:sz w:val="32"/>
          <w:szCs w:val="32"/>
          <w:highlight w:val="none"/>
          <w:lang w:val="en-US" w:eastAsia="zh-CN"/>
        </w:rPr>
        <w:t>市</w:t>
      </w:r>
      <w:r>
        <w:rPr>
          <w:rFonts w:hint="eastAsia" w:ascii="方正仿宋_GBK" w:hAnsi="方正仿宋_GBK" w:eastAsia="方正仿宋_GBK" w:cs="方正仿宋_GBK"/>
          <w:color w:val="auto"/>
          <w:sz w:val="32"/>
          <w:szCs w:val="32"/>
          <w:highlight w:val="none"/>
        </w:rPr>
        <w:t>、镇街、村居上下联动，各相关部门左右协调的工作机制，整合社会各方力量和资源，</w:t>
      </w:r>
      <w:r>
        <w:rPr>
          <w:rFonts w:hint="eastAsia" w:ascii="方正仿宋_GBK" w:hAnsi="方正仿宋_GBK" w:eastAsia="方正仿宋_GBK" w:cs="方正仿宋_GBK"/>
          <w:color w:val="auto"/>
          <w:sz w:val="32"/>
          <w:szCs w:val="32"/>
          <w:highlight w:val="none"/>
          <w:lang w:val="en-US" w:eastAsia="zh-CN"/>
        </w:rPr>
        <w:t>确保如期完成规划设置的目标任务。</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Style w:val="33"/>
          <w:rFonts w:hint="eastAsia" w:ascii="方正仿宋_GBK" w:hAnsi="方正仿宋_GBK" w:eastAsia="方正仿宋_GBK" w:cs="方正仿宋_GBK"/>
          <w:color w:val="auto"/>
          <w:sz w:val="32"/>
          <w:szCs w:val="32"/>
          <w:highlight w:val="none"/>
          <w:lang w:val="en-US" w:eastAsia="zh-CN"/>
        </w:rPr>
        <w:t>二、强化合力推进</w:t>
      </w:r>
      <w:r>
        <w:rPr>
          <w:rFonts w:hint="eastAsia" w:ascii="方正仿宋_GBK" w:hAnsi="方正仿宋_GBK" w:eastAsia="方正仿宋_GBK" w:cs="方正仿宋_GBK"/>
          <w:b/>
          <w:bCs/>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民政部门切实履行监督管理、行业规范、业务指导职责。发展改革部门将养老服务业发展纳入经济社会发展规划、专项规划和区域规划，支持养老服务设施建设。财政部门积极调整公共财政支出结构，对养老服务业发展给予财力保障。卫健、医疗保障、人力资源和社会保障等部门制定医养融合发展的政策措施。教育、自然资源、住房城乡建设、税务、金融、市场监督等部门各司其职、通力合作，及时解决养老服务业发展中遇到的问题，形成齐抓共管、整体推进的工作格局，确保规划内容落实到位。</w:t>
      </w:r>
    </w:p>
    <w:p>
      <w:pPr>
        <w:pStyle w:val="9"/>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仿宋_GBK" w:hAnsi="方正仿宋_GBK" w:eastAsia="方正仿宋_GBK" w:cs="方正仿宋_GBK"/>
          <w:color w:val="auto"/>
          <w:sz w:val="32"/>
          <w:szCs w:val="32"/>
          <w:highlight w:val="none"/>
          <w:lang w:val="en-US" w:eastAsia="zh-CN"/>
        </w:rPr>
      </w:pPr>
      <w:r>
        <w:rPr>
          <w:rStyle w:val="33"/>
          <w:rFonts w:hint="eastAsia" w:ascii="方正仿宋_GBK" w:hAnsi="方正仿宋_GBK" w:eastAsia="方正仿宋_GBK" w:cs="方正仿宋_GBK"/>
          <w:color w:val="auto"/>
          <w:sz w:val="32"/>
          <w:szCs w:val="32"/>
          <w:highlight w:val="none"/>
          <w:lang w:val="en-US" w:eastAsia="zh-CN"/>
        </w:rPr>
        <w:t>三、加大资金投入</w:t>
      </w:r>
      <w:r>
        <w:rPr>
          <w:rFonts w:hint="eastAsia" w:ascii="方正仿宋_GBK" w:hAnsi="方正仿宋_GBK" w:eastAsia="方正仿宋_GBK" w:cs="方正仿宋_GBK"/>
          <w:b/>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根据市经济发展状况和工作实际，充分发挥公共财政投入的主渠道作用，探索建立投入保障机制和资金增长机制。将高龄津贴、养老服务体系建设（长者食堂补助）、平安通等养老项目纳入公共财政预算，并建立合理的适应老年需求的增长机制。综合利用福利彩票公益金、残疾人保障金、项目化社会捐赠资金支持社区养老服务事业发展。建立多元投入机制。充分发挥政府投资的引导作用，进一步激发各类社会主体共同参与养老服务。</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仿宋_GBK" w:hAnsi="方正仿宋_GBK" w:eastAsia="方正仿宋_GBK" w:cs="方正仿宋_GBK"/>
          <w:color w:val="auto"/>
          <w:sz w:val="32"/>
          <w:szCs w:val="32"/>
          <w:highlight w:val="none"/>
          <w:lang w:val="en-US" w:eastAsia="zh-CN"/>
        </w:rPr>
      </w:pPr>
      <w:r>
        <w:rPr>
          <w:rStyle w:val="33"/>
          <w:rFonts w:hint="eastAsia" w:ascii="方正仿宋_GBK" w:hAnsi="方正仿宋_GBK" w:eastAsia="方正仿宋_GBK" w:cs="方正仿宋_GBK"/>
          <w:color w:val="auto"/>
          <w:sz w:val="32"/>
          <w:szCs w:val="32"/>
          <w:highlight w:val="none"/>
          <w:lang w:val="en-US" w:eastAsia="zh-CN"/>
        </w:rPr>
        <w:t>四、深化改革创新</w:t>
      </w:r>
      <w:r>
        <w:rPr>
          <w:rFonts w:hint="eastAsia" w:ascii="方正仿宋_GBK" w:hAnsi="方正仿宋_GBK" w:eastAsia="方正仿宋_GBK" w:cs="方正仿宋_GBK"/>
          <w:b/>
          <w:bCs/>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巩固现有成果，创造一批养老服务典型经营和先进做法。</w:t>
      </w:r>
      <w:r>
        <w:rPr>
          <w:rFonts w:hint="eastAsia" w:ascii="方正仿宋_GBK" w:hAnsi="方正仿宋_GBK" w:eastAsia="方正仿宋_GBK" w:cs="方正仿宋_GBK"/>
          <w:color w:val="auto"/>
          <w:sz w:val="32"/>
          <w:szCs w:val="32"/>
          <w:highlight w:val="none"/>
        </w:rPr>
        <w:t>在全</w:t>
      </w:r>
      <w:r>
        <w:rPr>
          <w:rFonts w:hint="eastAsia" w:ascii="方正仿宋_GBK" w:hAnsi="方正仿宋_GBK" w:eastAsia="方正仿宋_GBK" w:cs="方正仿宋_GBK"/>
          <w:color w:val="auto"/>
          <w:sz w:val="32"/>
          <w:szCs w:val="32"/>
          <w:highlight w:val="none"/>
          <w:lang w:val="en-US" w:eastAsia="zh-CN"/>
        </w:rPr>
        <w:t>市</w:t>
      </w:r>
      <w:r>
        <w:rPr>
          <w:rFonts w:hint="eastAsia" w:ascii="方正仿宋_GBK" w:hAnsi="方正仿宋_GBK" w:eastAsia="方正仿宋_GBK" w:cs="方正仿宋_GBK"/>
          <w:color w:val="auto"/>
          <w:sz w:val="32"/>
          <w:szCs w:val="32"/>
          <w:highlight w:val="none"/>
        </w:rPr>
        <w:t>遴选有工作基础、综合实力强、有条件的地区，规划建设一批特色鲜明、示范性强的社区居家养老服务、机构养老服务试点项目，原则上一镇（街）一站，一村（居）一点。积极向先进省、市学习养老服务经验，解决工作中的疑难问题，民政部门要会同相关部门及时总结推广好的经验和做法，完善相关政策措施。</w:t>
      </w:r>
      <w:r>
        <w:rPr>
          <w:rFonts w:hint="eastAsia" w:ascii="方正仿宋_GBK" w:hAnsi="方正仿宋_GBK" w:eastAsia="方正仿宋_GBK" w:cs="方正仿宋_GBK"/>
          <w:color w:val="auto"/>
          <w:sz w:val="32"/>
          <w:szCs w:val="32"/>
          <w:highlight w:val="none"/>
          <w:lang w:val="en-US" w:eastAsia="zh-CN"/>
        </w:rPr>
        <w:t>继续深化“放管服”改革，进一步改善养老服务领域营商环境。</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Style w:val="33"/>
          <w:rFonts w:hint="eastAsia" w:ascii="方正仿宋_GBK" w:hAnsi="方正仿宋_GBK" w:eastAsia="方正仿宋_GBK" w:cs="方正仿宋_GBK"/>
          <w:color w:val="auto"/>
          <w:sz w:val="32"/>
          <w:szCs w:val="32"/>
          <w:highlight w:val="none"/>
          <w:lang w:val="en-US" w:eastAsia="zh-CN"/>
        </w:rPr>
        <w:t>五、强化监管评估。</w:t>
      </w:r>
      <w:r>
        <w:rPr>
          <w:rFonts w:hint="eastAsia" w:ascii="方正仿宋_GBK" w:hAnsi="方正仿宋_GBK" w:eastAsia="方正仿宋_GBK" w:cs="方正仿宋_GBK"/>
          <w:color w:val="auto"/>
          <w:sz w:val="32"/>
          <w:szCs w:val="32"/>
          <w:highlight w:val="none"/>
          <w:lang w:val="en-US" w:eastAsia="zh-CN"/>
        </w:rPr>
        <w:t>养老服务业“十四五”发展规划是全市养老服务今后一个时期发展的总纲和任务，各部门应当结合自身实际制定具体规划和年度计划，加强对规划实施情况的评估考核，对涉及约束性指标和兜底保障、基本养老服务等政府履责要求的，进一步细化责任主体，严格跟踪考核机制，建立“年度评价、中期评估、总结评估”的养老服务规划评价闭环。在规划实施过程中自觉接受人大监督，并充分采纳群众意见，集思广益、群策群力。动员各方面的力量，灵活采取各种方式落实规划任务，及时调整执行偏差，确保规划目标顺利完成。</w:t>
      </w:r>
    </w:p>
    <w:sectPr>
      <w:footerReference r:id="rId3" w:type="default"/>
      <w:pgSz w:w="11906" w:h="16838"/>
      <w:pgMar w:top="1701" w:right="1576" w:bottom="1440" w:left="163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swiss"/>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p>
    <w:pPr>
      <w:pStyle w:val="12"/>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3MjRjZDMwZjU1OGNlZGU2NTkyYjNhNThmMDM2MTUifQ=="/>
  </w:docVars>
  <w:rsids>
    <w:rsidRoot w:val="322D4105"/>
    <w:rsid w:val="00016A45"/>
    <w:rsid w:val="00016FA4"/>
    <w:rsid w:val="00020C88"/>
    <w:rsid w:val="0003750F"/>
    <w:rsid w:val="00051DD3"/>
    <w:rsid w:val="00060287"/>
    <w:rsid w:val="00060597"/>
    <w:rsid w:val="000633C5"/>
    <w:rsid w:val="000643A3"/>
    <w:rsid w:val="00071364"/>
    <w:rsid w:val="00075CC6"/>
    <w:rsid w:val="000804A9"/>
    <w:rsid w:val="0008485B"/>
    <w:rsid w:val="00093092"/>
    <w:rsid w:val="000A11BA"/>
    <w:rsid w:val="000B0BCD"/>
    <w:rsid w:val="000B44DF"/>
    <w:rsid w:val="000C4772"/>
    <w:rsid w:val="000D1036"/>
    <w:rsid w:val="000E6AE9"/>
    <w:rsid w:val="000F69B1"/>
    <w:rsid w:val="000F7282"/>
    <w:rsid w:val="001010D9"/>
    <w:rsid w:val="00113B26"/>
    <w:rsid w:val="00114A10"/>
    <w:rsid w:val="001220B5"/>
    <w:rsid w:val="00125DCD"/>
    <w:rsid w:val="00127C93"/>
    <w:rsid w:val="00137083"/>
    <w:rsid w:val="00147C9B"/>
    <w:rsid w:val="001619A5"/>
    <w:rsid w:val="001708E6"/>
    <w:rsid w:val="001774F5"/>
    <w:rsid w:val="0018072A"/>
    <w:rsid w:val="001815AE"/>
    <w:rsid w:val="00181A1D"/>
    <w:rsid w:val="001B2228"/>
    <w:rsid w:val="001B5659"/>
    <w:rsid w:val="001D7E77"/>
    <w:rsid w:val="002155D3"/>
    <w:rsid w:val="00224820"/>
    <w:rsid w:val="0023432E"/>
    <w:rsid w:val="0023660B"/>
    <w:rsid w:val="00246871"/>
    <w:rsid w:val="00252694"/>
    <w:rsid w:val="00257145"/>
    <w:rsid w:val="00267A2A"/>
    <w:rsid w:val="00272B54"/>
    <w:rsid w:val="00275542"/>
    <w:rsid w:val="00277CD3"/>
    <w:rsid w:val="00285369"/>
    <w:rsid w:val="002A75FB"/>
    <w:rsid w:val="002B16C1"/>
    <w:rsid w:val="002B28F4"/>
    <w:rsid w:val="002C621E"/>
    <w:rsid w:val="002D5DD8"/>
    <w:rsid w:val="002E62AF"/>
    <w:rsid w:val="002E6F57"/>
    <w:rsid w:val="002F512F"/>
    <w:rsid w:val="00310E15"/>
    <w:rsid w:val="00316533"/>
    <w:rsid w:val="0034396C"/>
    <w:rsid w:val="00347699"/>
    <w:rsid w:val="00373A83"/>
    <w:rsid w:val="003B67D0"/>
    <w:rsid w:val="003D5CFA"/>
    <w:rsid w:val="003E2938"/>
    <w:rsid w:val="003E3CCB"/>
    <w:rsid w:val="00406EE1"/>
    <w:rsid w:val="00420F69"/>
    <w:rsid w:val="004216A7"/>
    <w:rsid w:val="00432CFE"/>
    <w:rsid w:val="00432F9F"/>
    <w:rsid w:val="00433642"/>
    <w:rsid w:val="004704E5"/>
    <w:rsid w:val="004704EC"/>
    <w:rsid w:val="0047307B"/>
    <w:rsid w:val="00491DCD"/>
    <w:rsid w:val="0049201E"/>
    <w:rsid w:val="004A4C6D"/>
    <w:rsid w:val="004A64A9"/>
    <w:rsid w:val="004B1ACB"/>
    <w:rsid w:val="004C1D33"/>
    <w:rsid w:val="004C378D"/>
    <w:rsid w:val="004C78D1"/>
    <w:rsid w:val="004D299F"/>
    <w:rsid w:val="004E3911"/>
    <w:rsid w:val="00504E2D"/>
    <w:rsid w:val="0052077E"/>
    <w:rsid w:val="00540946"/>
    <w:rsid w:val="0054671B"/>
    <w:rsid w:val="00547ED3"/>
    <w:rsid w:val="00551107"/>
    <w:rsid w:val="00552D67"/>
    <w:rsid w:val="005611CC"/>
    <w:rsid w:val="00561BD6"/>
    <w:rsid w:val="00573ABE"/>
    <w:rsid w:val="005758B4"/>
    <w:rsid w:val="00583AA3"/>
    <w:rsid w:val="005A01F7"/>
    <w:rsid w:val="005E21C3"/>
    <w:rsid w:val="00617199"/>
    <w:rsid w:val="00624358"/>
    <w:rsid w:val="0063270F"/>
    <w:rsid w:val="00633CE6"/>
    <w:rsid w:val="00640DB5"/>
    <w:rsid w:val="006510A0"/>
    <w:rsid w:val="00651B79"/>
    <w:rsid w:val="00657417"/>
    <w:rsid w:val="00660A52"/>
    <w:rsid w:val="00680B4B"/>
    <w:rsid w:val="00681310"/>
    <w:rsid w:val="006842FB"/>
    <w:rsid w:val="00684ABC"/>
    <w:rsid w:val="00684CB8"/>
    <w:rsid w:val="00684DC1"/>
    <w:rsid w:val="0068616C"/>
    <w:rsid w:val="00690B45"/>
    <w:rsid w:val="006926D1"/>
    <w:rsid w:val="006A069F"/>
    <w:rsid w:val="006C507F"/>
    <w:rsid w:val="006C7CD4"/>
    <w:rsid w:val="006D2240"/>
    <w:rsid w:val="006D5555"/>
    <w:rsid w:val="006E5F22"/>
    <w:rsid w:val="006E7982"/>
    <w:rsid w:val="006F4353"/>
    <w:rsid w:val="006F7333"/>
    <w:rsid w:val="00700D15"/>
    <w:rsid w:val="00714030"/>
    <w:rsid w:val="00716874"/>
    <w:rsid w:val="00733087"/>
    <w:rsid w:val="00754809"/>
    <w:rsid w:val="00772B8F"/>
    <w:rsid w:val="007912AF"/>
    <w:rsid w:val="00793627"/>
    <w:rsid w:val="007A3360"/>
    <w:rsid w:val="007C270B"/>
    <w:rsid w:val="007D2BC6"/>
    <w:rsid w:val="007D7E99"/>
    <w:rsid w:val="007E42EB"/>
    <w:rsid w:val="007E5D3A"/>
    <w:rsid w:val="007F318E"/>
    <w:rsid w:val="007F7C95"/>
    <w:rsid w:val="007F7D9C"/>
    <w:rsid w:val="00805340"/>
    <w:rsid w:val="00817CC1"/>
    <w:rsid w:val="0082665B"/>
    <w:rsid w:val="00844E8D"/>
    <w:rsid w:val="00845DAE"/>
    <w:rsid w:val="00846CCF"/>
    <w:rsid w:val="00853086"/>
    <w:rsid w:val="00853968"/>
    <w:rsid w:val="00863B2A"/>
    <w:rsid w:val="00867BD9"/>
    <w:rsid w:val="0087246B"/>
    <w:rsid w:val="00882A41"/>
    <w:rsid w:val="008A2CAE"/>
    <w:rsid w:val="008A49A1"/>
    <w:rsid w:val="008B4E8C"/>
    <w:rsid w:val="008B688B"/>
    <w:rsid w:val="008B70A1"/>
    <w:rsid w:val="008C43FB"/>
    <w:rsid w:val="008C5161"/>
    <w:rsid w:val="008C76A5"/>
    <w:rsid w:val="008D2915"/>
    <w:rsid w:val="008F10E5"/>
    <w:rsid w:val="008F2D30"/>
    <w:rsid w:val="00914AC7"/>
    <w:rsid w:val="0091772C"/>
    <w:rsid w:val="009253F3"/>
    <w:rsid w:val="00930638"/>
    <w:rsid w:val="0093226F"/>
    <w:rsid w:val="009522BC"/>
    <w:rsid w:val="0096174E"/>
    <w:rsid w:val="00962844"/>
    <w:rsid w:val="0096575A"/>
    <w:rsid w:val="00971DE4"/>
    <w:rsid w:val="009747A1"/>
    <w:rsid w:val="00986C60"/>
    <w:rsid w:val="00990CF3"/>
    <w:rsid w:val="009B7E7E"/>
    <w:rsid w:val="009C1021"/>
    <w:rsid w:val="009D232F"/>
    <w:rsid w:val="009E78C5"/>
    <w:rsid w:val="009F5861"/>
    <w:rsid w:val="00A010CD"/>
    <w:rsid w:val="00A123BC"/>
    <w:rsid w:val="00A1496C"/>
    <w:rsid w:val="00A2285F"/>
    <w:rsid w:val="00A27FB4"/>
    <w:rsid w:val="00A3427C"/>
    <w:rsid w:val="00A36141"/>
    <w:rsid w:val="00A47610"/>
    <w:rsid w:val="00A6193B"/>
    <w:rsid w:val="00A61EF6"/>
    <w:rsid w:val="00A66CBB"/>
    <w:rsid w:val="00A729A7"/>
    <w:rsid w:val="00A750EB"/>
    <w:rsid w:val="00A863E2"/>
    <w:rsid w:val="00AA1CB2"/>
    <w:rsid w:val="00AC1D36"/>
    <w:rsid w:val="00AE5334"/>
    <w:rsid w:val="00AF52D2"/>
    <w:rsid w:val="00AF587C"/>
    <w:rsid w:val="00B01067"/>
    <w:rsid w:val="00B35F8F"/>
    <w:rsid w:val="00B4133E"/>
    <w:rsid w:val="00B4164D"/>
    <w:rsid w:val="00B50074"/>
    <w:rsid w:val="00B541D7"/>
    <w:rsid w:val="00B54DCD"/>
    <w:rsid w:val="00B677F8"/>
    <w:rsid w:val="00B849B0"/>
    <w:rsid w:val="00B8527E"/>
    <w:rsid w:val="00B86DC5"/>
    <w:rsid w:val="00BA4ED3"/>
    <w:rsid w:val="00C31949"/>
    <w:rsid w:val="00C32CD4"/>
    <w:rsid w:val="00C46AF3"/>
    <w:rsid w:val="00C50B22"/>
    <w:rsid w:val="00C57F93"/>
    <w:rsid w:val="00C60B6A"/>
    <w:rsid w:val="00C62FD9"/>
    <w:rsid w:val="00C8015E"/>
    <w:rsid w:val="00C8142B"/>
    <w:rsid w:val="00C920D8"/>
    <w:rsid w:val="00CA05EC"/>
    <w:rsid w:val="00CC1CD0"/>
    <w:rsid w:val="00CC2A30"/>
    <w:rsid w:val="00CD1ED1"/>
    <w:rsid w:val="00CD24FC"/>
    <w:rsid w:val="00CE1A49"/>
    <w:rsid w:val="00CE59C7"/>
    <w:rsid w:val="00CF608B"/>
    <w:rsid w:val="00CF6148"/>
    <w:rsid w:val="00CF6C8C"/>
    <w:rsid w:val="00D03746"/>
    <w:rsid w:val="00D06128"/>
    <w:rsid w:val="00D06815"/>
    <w:rsid w:val="00D1007F"/>
    <w:rsid w:val="00D273F6"/>
    <w:rsid w:val="00D45734"/>
    <w:rsid w:val="00D53928"/>
    <w:rsid w:val="00D56FA1"/>
    <w:rsid w:val="00D6414B"/>
    <w:rsid w:val="00D70E6F"/>
    <w:rsid w:val="00D747D2"/>
    <w:rsid w:val="00D81ADB"/>
    <w:rsid w:val="00D85F30"/>
    <w:rsid w:val="00D911D6"/>
    <w:rsid w:val="00D975BA"/>
    <w:rsid w:val="00DA4928"/>
    <w:rsid w:val="00DB4E69"/>
    <w:rsid w:val="00DC3F75"/>
    <w:rsid w:val="00DC48AC"/>
    <w:rsid w:val="00DC6965"/>
    <w:rsid w:val="00DD64BD"/>
    <w:rsid w:val="00DE2D43"/>
    <w:rsid w:val="00E03854"/>
    <w:rsid w:val="00E15688"/>
    <w:rsid w:val="00E201A8"/>
    <w:rsid w:val="00E21C29"/>
    <w:rsid w:val="00E40B2C"/>
    <w:rsid w:val="00E52C02"/>
    <w:rsid w:val="00E5315C"/>
    <w:rsid w:val="00E539A2"/>
    <w:rsid w:val="00E60FF4"/>
    <w:rsid w:val="00E637B9"/>
    <w:rsid w:val="00E72102"/>
    <w:rsid w:val="00E736CF"/>
    <w:rsid w:val="00E92D5A"/>
    <w:rsid w:val="00E9368F"/>
    <w:rsid w:val="00E9454F"/>
    <w:rsid w:val="00E96533"/>
    <w:rsid w:val="00EA4E35"/>
    <w:rsid w:val="00EB4C13"/>
    <w:rsid w:val="00ED2429"/>
    <w:rsid w:val="00ED2602"/>
    <w:rsid w:val="00ED2824"/>
    <w:rsid w:val="00F0159C"/>
    <w:rsid w:val="00F03E98"/>
    <w:rsid w:val="00F13C86"/>
    <w:rsid w:val="00F150AB"/>
    <w:rsid w:val="00F21BD2"/>
    <w:rsid w:val="00F2326A"/>
    <w:rsid w:val="00F40C5B"/>
    <w:rsid w:val="00F43CDD"/>
    <w:rsid w:val="00F4662C"/>
    <w:rsid w:val="00F56657"/>
    <w:rsid w:val="00F810D7"/>
    <w:rsid w:val="00F84681"/>
    <w:rsid w:val="00F94BE6"/>
    <w:rsid w:val="00FB0CB8"/>
    <w:rsid w:val="00FB58F7"/>
    <w:rsid w:val="00FC43A4"/>
    <w:rsid w:val="00FF77FC"/>
    <w:rsid w:val="010D4C8F"/>
    <w:rsid w:val="01454A5B"/>
    <w:rsid w:val="01687836"/>
    <w:rsid w:val="01826538"/>
    <w:rsid w:val="0187473F"/>
    <w:rsid w:val="01D54BFB"/>
    <w:rsid w:val="01F3521E"/>
    <w:rsid w:val="02010296"/>
    <w:rsid w:val="026E56DA"/>
    <w:rsid w:val="02C35A8C"/>
    <w:rsid w:val="02EA7FD8"/>
    <w:rsid w:val="033755DF"/>
    <w:rsid w:val="0354377E"/>
    <w:rsid w:val="039C1A78"/>
    <w:rsid w:val="03AB7B39"/>
    <w:rsid w:val="03C07382"/>
    <w:rsid w:val="04043174"/>
    <w:rsid w:val="04284E13"/>
    <w:rsid w:val="045436E8"/>
    <w:rsid w:val="046E2796"/>
    <w:rsid w:val="04AB3B8E"/>
    <w:rsid w:val="04C76384"/>
    <w:rsid w:val="054151A7"/>
    <w:rsid w:val="05C2253D"/>
    <w:rsid w:val="05C42B8B"/>
    <w:rsid w:val="05DF415B"/>
    <w:rsid w:val="05E6739B"/>
    <w:rsid w:val="06124886"/>
    <w:rsid w:val="0662384B"/>
    <w:rsid w:val="06626067"/>
    <w:rsid w:val="06B06A8A"/>
    <w:rsid w:val="07465E38"/>
    <w:rsid w:val="077400CD"/>
    <w:rsid w:val="07B73869"/>
    <w:rsid w:val="07DE06C1"/>
    <w:rsid w:val="07FF0E7E"/>
    <w:rsid w:val="07FF12C2"/>
    <w:rsid w:val="084C2E71"/>
    <w:rsid w:val="08543080"/>
    <w:rsid w:val="086473E2"/>
    <w:rsid w:val="086A1FB2"/>
    <w:rsid w:val="0871074D"/>
    <w:rsid w:val="089044E9"/>
    <w:rsid w:val="08A728CF"/>
    <w:rsid w:val="08C42BDE"/>
    <w:rsid w:val="08D16D06"/>
    <w:rsid w:val="08E04023"/>
    <w:rsid w:val="08E521B2"/>
    <w:rsid w:val="09073C4B"/>
    <w:rsid w:val="095D3055"/>
    <w:rsid w:val="0A0C0CB1"/>
    <w:rsid w:val="0A253D87"/>
    <w:rsid w:val="0A3D794F"/>
    <w:rsid w:val="0A6239DB"/>
    <w:rsid w:val="0A851186"/>
    <w:rsid w:val="0ACB6F4F"/>
    <w:rsid w:val="0AFA72BB"/>
    <w:rsid w:val="0B375D94"/>
    <w:rsid w:val="0BD940D8"/>
    <w:rsid w:val="0BF40F20"/>
    <w:rsid w:val="0C02467F"/>
    <w:rsid w:val="0C0C652D"/>
    <w:rsid w:val="0C244AFD"/>
    <w:rsid w:val="0C5343FD"/>
    <w:rsid w:val="0C58784F"/>
    <w:rsid w:val="0C761BDC"/>
    <w:rsid w:val="0C7707BA"/>
    <w:rsid w:val="0CCA7A28"/>
    <w:rsid w:val="0D012472"/>
    <w:rsid w:val="0D216C50"/>
    <w:rsid w:val="0D505F74"/>
    <w:rsid w:val="0D6423B2"/>
    <w:rsid w:val="0DFC02DA"/>
    <w:rsid w:val="0E294D31"/>
    <w:rsid w:val="0E3803DF"/>
    <w:rsid w:val="0E4B23BA"/>
    <w:rsid w:val="0E76177D"/>
    <w:rsid w:val="0E9144CA"/>
    <w:rsid w:val="0E96310F"/>
    <w:rsid w:val="0EB93DF1"/>
    <w:rsid w:val="0ED134F6"/>
    <w:rsid w:val="0F585826"/>
    <w:rsid w:val="0F631140"/>
    <w:rsid w:val="0F9A5906"/>
    <w:rsid w:val="0FCE5F07"/>
    <w:rsid w:val="0FD51400"/>
    <w:rsid w:val="1027125A"/>
    <w:rsid w:val="1032149E"/>
    <w:rsid w:val="10591211"/>
    <w:rsid w:val="10B23B37"/>
    <w:rsid w:val="10C95854"/>
    <w:rsid w:val="10DF2A48"/>
    <w:rsid w:val="10E602E7"/>
    <w:rsid w:val="1118613B"/>
    <w:rsid w:val="115B565E"/>
    <w:rsid w:val="116819FC"/>
    <w:rsid w:val="11A04882"/>
    <w:rsid w:val="11A27059"/>
    <w:rsid w:val="11B167D5"/>
    <w:rsid w:val="11BD3629"/>
    <w:rsid w:val="126B0582"/>
    <w:rsid w:val="126C74B5"/>
    <w:rsid w:val="127864B0"/>
    <w:rsid w:val="12973B23"/>
    <w:rsid w:val="12B553AA"/>
    <w:rsid w:val="12DB168F"/>
    <w:rsid w:val="12E2188F"/>
    <w:rsid w:val="12FD5978"/>
    <w:rsid w:val="1363068E"/>
    <w:rsid w:val="13A35102"/>
    <w:rsid w:val="13AF0BDB"/>
    <w:rsid w:val="13AF35C0"/>
    <w:rsid w:val="13B33385"/>
    <w:rsid w:val="13C57B9D"/>
    <w:rsid w:val="13D12F09"/>
    <w:rsid w:val="13D36231"/>
    <w:rsid w:val="140F0FDA"/>
    <w:rsid w:val="144F7069"/>
    <w:rsid w:val="14634486"/>
    <w:rsid w:val="14666ED1"/>
    <w:rsid w:val="14862427"/>
    <w:rsid w:val="148D1316"/>
    <w:rsid w:val="149C1580"/>
    <w:rsid w:val="14D64C74"/>
    <w:rsid w:val="150C079D"/>
    <w:rsid w:val="151334EA"/>
    <w:rsid w:val="15302E5B"/>
    <w:rsid w:val="155A1547"/>
    <w:rsid w:val="157D377E"/>
    <w:rsid w:val="15A64197"/>
    <w:rsid w:val="15A97B1A"/>
    <w:rsid w:val="15B2547D"/>
    <w:rsid w:val="15C947BC"/>
    <w:rsid w:val="15D2128E"/>
    <w:rsid w:val="15E467F7"/>
    <w:rsid w:val="15FE078D"/>
    <w:rsid w:val="16005522"/>
    <w:rsid w:val="160202FE"/>
    <w:rsid w:val="160D7A72"/>
    <w:rsid w:val="16185BC4"/>
    <w:rsid w:val="162C583E"/>
    <w:rsid w:val="165754AD"/>
    <w:rsid w:val="168357F5"/>
    <w:rsid w:val="16893D4B"/>
    <w:rsid w:val="16A05750"/>
    <w:rsid w:val="16A270F2"/>
    <w:rsid w:val="171802DE"/>
    <w:rsid w:val="172D70F6"/>
    <w:rsid w:val="172E6172"/>
    <w:rsid w:val="17396D24"/>
    <w:rsid w:val="174310A0"/>
    <w:rsid w:val="174519F9"/>
    <w:rsid w:val="17EB00E1"/>
    <w:rsid w:val="183228E4"/>
    <w:rsid w:val="18421C56"/>
    <w:rsid w:val="18586266"/>
    <w:rsid w:val="186D7697"/>
    <w:rsid w:val="188127A3"/>
    <w:rsid w:val="1885074C"/>
    <w:rsid w:val="188A386F"/>
    <w:rsid w:val="188F0957"/>
    <w:rsid w:val="18BE39CB"/>
    <w:rsid w:val="18CF6494"/>
    <w:rsid w:val="19046298"/>
    <w:rsid w:val="1929678E"/>
    <w:rsid w:val="193D649A"/>
    <w:rsid w:val="19504EE3"/>
    <w:rsid w:val="195A66B6"/>
    <w:rsid w:val="196102D5"/>
    <w:rsid w:val="196B3EA8"/>
    <w:rsid w:val="196B4716"/>
    <w:rsid w:val="19730838"/>
    <w:rsid w:val="19891225"/>
    <w:rsid w:val="198D591F"/>
    <w:rsid w:val="19B935B7"/>
    <w:rsid w:val="19CB23B8"/>
    <w:rsid w:val="19DA3B7E"/>
    <w:rsid w:val="19EB0816"/>
    <w:rsid w:val="19FC069E"/>
    <w:rsid w:val="1A0546AF"/>
    <w:rsid w:val="1A3A62B0"/>
    <w:rsid w:val="1A3C3000"/>
    <w:rsid w:val="1A4D4E86"/>
    <w:rsid w:val="1A5166C9"/>
    <w:rsid w:val="1A5C42A8"/>
    <w:rsid w:val="1A7A53B0"/>
    <w:rsid w:val="1A9A2300"/>
    <w:rsid w:val="1AA84695"/>
    <w:rsid w:val="1B0A2F89"/>
    <w:rsid w:val="1B175C8C"/>
    <w:rsid w:val="1B2C5B10"/>
    <w:rsid w:val="1B7E160A"/>
    <w:rsid w:val="1BCF4D2B"/>
    <w:rsid w:val="1BE877CD"/>
    <w:rsid w:val="1C3B449A"/>
    <w:rsid w:val="1C534F07"/>
    <w:rsid w:val="1C9D7405"/>
    <w:rsid w:val="1CB81327"/>
    <w:rsid w:val="1CC46930"/>
    <w:rsid w:val="1CFA1594"/>
    <w:rsid w:val="1D48081E"/>
    <w:rsid w:val="1DBA4F7E"/>
    <w:rsid w:val="1DC41975"/>
    <w:rsid w:val="1DEB0A3D"/>
    <w:rsid w:val="1DFF2482"/>
    <w:rsid w:val="1E165F1B"/>
    <w:rsid w:val="1EAA73B3"/>
    <w:rsid w:val="1EB852A9"/>
    <w:rsid w:val="1EC26703"/>
    <w:rsid w:val="1ECF5CD8"/>
    <w:rsid w:val="1F1019EE"/>
    <w:rsid w:val="1F234701"/>
    <w:rsid w:val="1F271BF4"/>
    <w:rsid w:val="1F5F4F7E"/>
    <w:rsid w:val="1F88407A"/>
    <w:rsid w:val="1F8C54CD"/>
    <w:rsid w:val="1FB41E02"/>
    <w:rsid w:val="1FC7623B"/>
    <w:rsid w:val="1FC83EC1"/>
    <w:rsid w:val="1FE55012"/>
    <w:rsid w:val="1FF12F70"/>
    <w:rsid w:val="200E784F"/>
    <w:rsid w:val="20185475"/>
    <w:rsid w:val="204502E6"/>
    <w:rsid w:val="207460B1"/>
    <w:rsid w:val="20C65D66"/>
    <w:rsid w:val="20E13AB7"/>
    <w:rsid w:val="20E2371B"/>
    <w:rsid w:val="21042264"/>
    <w:rsid w:val="212517CC"/>
    <w:rsid w:val="214A12AB"/>
    <w:rsid w:val="2158792F"/>
    <w:rsid w:val="21763E63"/>
    <w:rsid w:val="21786F4B"/>
    <w:rsid w:val="217E24A0"/>
    <w:rsid w:val="21E81052"/>
    <w:rsid w:val="221D0D6A"/>
    <w:rsid w:val="221E3587"/>
    <w:rsid w:val="222733A8"/>
    <w:rsid w:val="222C54E8"/>
    <w:rsid w:val="223E0305"/>
    <w:rsid w:val="22453BA2"/>
    <w:rsid w:val="228A7CE8"/>
    <w:rsid w:val="229B66BB"/>
    <w:rsid w:val="22A31365"/>
    <w:rsid w:val="22AC64ED"/>
    <w:rsid w:val="22C14553"/>
    <w:rsid w:val="22E03E44"/>
    <w:rsid w:val="22EB6F6C"/>
    <w:rsid w:val="23027EE4"/>
    <w:rsid w:val="2331285C"/>
    <w:rsid w:val="2378262C"/>
    <w:rsid w:val="238166D6"/>
    <w:rsid w:val="238471EA"/>
    <w:rsid w:val="23850749"/>
    <w:rsid w:val="23A6613D"/>
    <w:rsid w:val="23BE6D68"/>
    <w:rsid w:val="23C92F48"/>
    <w:rsid w:val="23D8396B"/>
    <w:rsid w:val="24094C88"/>
    <w:rsid w:val="243B2915"/>
    <w:rsid w:val="24534BC7"/>
    <w:rsid w:val="246072F4"/>
    <w:rsid w:val="249D12EE"/>
    <w:rsid w:val="250E645C"/>
    <w:rsid w:val="25544708"/>
    <w:rsid w:val="255B3F58"/>
    <w:rsid w:val="25946D3B"/>
    <w:rsid w:val="25A034AF"/>
    <w:rsid w:val="25A37BF6"/>
    <w:rsid w:val="25B6298A"/>
    <w:rsid w:val="25CE425F"/>
    <w:rsid w:val="25EA5F44"/>
    <w:rsid w:val="260F1CB4"/>
    <w:rsid w:val="261E48A8"/>
    <w:rsid w:val="263563BE"/>
    <w:rsid w:val="26407E20"/>
    <w:rsid w:val="2642670A"/>
    <w:rsid w:val="26500C1F"/>
    <w:rsid w:val="26AE7E9F"/>
    <w:rsid w:val="26BB7D3E"/>
    <w:rsid w:val="26E64B4E"/>
    <w:rsid w:val="270E3F30"/>
    <w:rsid w:val="271527DB"/>
    <w:rsid w:val="27417A30"/>
    <w:rsid w:val="274A2BCA"/>
    <w:rsid w:val="276404E9"/>
    <w:rsid w:val="27A1212A"/>
    <w:rsid w:val="27A460F5"/>
    <w:rsid w:val="27A72C93"/>
    <w:rsid w:val="27B54BA0"/>
    <w:rsid w:val="27BC58FE"/>
    <w:rsid w:val="27CC579C"/>
    <w:rsid w:val="27F20D28"/>
    <w:rsid w:val="27FD657D"/>
    <w:rsid w:val="280253D0"/>
    <w:rsid w:val="28070B0A"/>
    <w:rsid w:val="281F5A22"/>
    <w:rsid w:val="2848203C"/>
    <w:rsid w:val="28605909"/>
    <w:rsid w:val="28CA1856"/>
    <w:rsid w:val="28DE3D33"/>
    <w:rsid w:val="2900014B"/>
    <w:rsid w:val="295D5FAA"/>
    <w:rsid w:val="29600E2C"/>
    <w:rsid w:val="29836EA2"/>
    <w:rsid w:val="29AB7D8B"/>
    <w:rsid w:val="29B81A52"/>
    <w:rsid w:val="29D87922"/>
    <w:rsid w:val="2A1357A6"/>
    <w:rsid w:val="2A5378CC"/>
    <w:rsid w:val="2A6D6D2A"/>
    <w:rsid w:val="2A95250A"/>
    <w:rsid w:val="2A955517"/>
    <w:rsid w:val="2A9C5F48"/>
    <w:rsid w:val="2AD20A83"/>
    <w:rsid w:val="2AF227EA"/>
    <w:rsid w:val="2B386A51"/>
    <w:rsid w:val="2B5341A7"/>
    <w:rsid w:val="2B5951F0"/>
    <w:rsid w:val="2B711F17"/>
    <w:rsid w:val="2BD67280"/>
    <w:rsid w:val="2BD852AB"/>
    <w:rsid w:val="2BD876F5"/>
    <w:rsid w:val="2BF63BB2"/>
    <w:rsid w:val="2C520BD9"/>
    <w:rsid w:val="2C95620E"/>
    <w:rsid w:val="2CA17943"/>
    <w:rsid w:val="2CCE5008"/>
    <w:rsid w:val="2CCF5BF3"/>
    <w:rsid w:val="2CE22C96"/>
    <w:rsid w:val="2D160AFE"/>
    <w:rsid w:val="2D271AD0"/>
    <w:rsid w:val="2D4A5D90"/>
    <w:rsid w:val="2D5A4C42"/>
    <w:rsid w:val="2D6B1E14"/>
    <w:rsid w:val="2D8E6AE4"/>
    <w:rsid w:val="2DDE5F8B"/>
    <w:rsid w:val="2E2C19D7"/>
    <w:rsid w:val="2E342143"/>
    <w:rsid w:val="2E71389E"/>
    <w:rsid w:val="2E815AD3"/>
    <w:rsid w:val="2F261FAE"/>
    <w:rsid w:val="2F3B3CC1"/>
    <w:rsid w:val="2F3C16DA"/>
    <w:rsid w:val="2F3D501A"/>
    <w:rsid w:val="2F621E1A"/>
    <w:rsid w:val="2F7737F3"/>
    <w:rsid w:val="2F86523C"/>
    <w:rsid w:val="2FBD33BB"/>
    <w:rsid w:val="2FEF1E18"/>
    <w:rsid w:val="304C7E61"/>
    <w:rsid w:val="307A7DAC"/>
    <w:rsid w:val="30A5792F"/>
    <w:rsid w:val="30BA09FB"/>
    <w:rsid w:val="30C2376F"/>
    <w:rsid w:val="30CE1C18"/>
    <w:rsid w:val="30D85257"/>
    <w:rsid w:val="31303641"/>
    <w:rsid w:val="31912AC9"/>
    <w:rsid w:val="31DB3FF9"/>
    <w:rsid w:val="32055B6A"/>
    <w:rsid w:val="32137542"/>
    <w:rsid w:val="322D4105"/>
    <w:rsid w:val="323D4672"/>
    <w:rsid w:val="326956A0"/>
    <w:rsid w:val="327C0C81"/>
    <w:rsid w:val="328C6FAD"/>
    <w:rsid w:val="32EB3845"/>
    <w:rsid w:val="32F557B4"/>
    <w:rsid w:val="32FC2924"/>
    <w:rsid w:val="33700226"/>
    <w:rsid w:val="337F3D93"/>
    <w:rsid w:val="33D247B2"/>
    <w:rsid w:val="33E631BE"/>
    <w:rsid w:val="33E739B8"/>
    <w:rsid w:val="342D2063"/>
    <w:rsid w:val="34577E56"/>
    <w:rsid w:val="345E4BE5"/>
    <w:rsid w:val="34BA1455"/>
    <w:rsid w:val="34BE2390"/>
    <w:rsid w:val="34D1379B"/>
    <w:rsid w:val="34D206AA"/>
    <w:rsid w:val="34DB48B8"/>
    <w:rsid w:val="34F40C43"/>
    <w:rsid w:val="35250736"/>
    <w:rsid w:val="352C6260"/>
    <w:rsid w:val="357A4D33"/>
    <w:rsid w:val="35D66DD6"/>
    <w:rsid w:val="35FD2D1B"/>
    <w:rsid w:val="36152D3C"/>
    <w:rsid w:val="361D7E21"/>
    <w:rsid w:val="363619C7"/>
    <w:rsid w:val="363925D9"/>
    <w:rsid w:val="36416E5F"/>
    <w:rsid w:val="3647378A"/>
    <w:rsid w:val="364C5F74"/>
    <w:rsid w:val="365A4FC1"/>
    <w:rsid w:val="367E523E"/>
    <w:rsid w:val="36822193"/>
    <w:rsid w:val="36A92F31"/>
    <w:rsid w:val="36AF0BDB"/>
    <w:rsid w:val="36D90841"/>
    <w:rsid w:val="36FF2794"/>
    <w:rsid w:val="3700216B"/>
    <w:rsid w:val="370276FA"/>
    <w:rsid w:val="371C1F09"/>
    <w:rsid w:val="375F33F1"/>
    <w:rsid w:val="377B3165"/>
    <w:rsid w:val="379B0981"/>
    <w:rsid w:val="37C34E7C"/>
    <w:rsid w:val="38100FD4"/>
    <w:rsid w:val="382C1401"/>
    <w:rsid w:val="38681419"/>
    <w:rsid w:val="387A3382"/>
    <w:rsid w:val="38985ACA"/>
    <w:rsid w:val="389F13AC"/>
    <w:rsid w:val="38AF72B3"/>
    <w:rsid w:val="38C420A7"/>
    <w:rsid w:val="38C74B99"/>
    <w:rsid w:val="38E27595"/>
    <w:rsid w:val="39E210F9"/>
    <w:rsid w:val="39E74720"/>
    <w:rsid w:val="39E80EC0"/>
    <w:rsid w:val="3A002C8A"/>
    <w:rsid w:val="3A0E27E1"/>
    <w:rsid w:val="3A132460"/>
    <w:rsid w:val="3A4E01AD"/>
    <w:rsid w:val="3A53445D"/>
    <w:rsid w:val="3A882342"/>
    <w:rsid w:val="3A9479A4"/>
    <w:rsid w:val="3AA77E80"/>
    <w:rsid w:val="3AC714CF"/>
    <w:rsid w:val="3B044B42"/>
    <w:rsid w:val="3B4105FC"/>
    <w:rsid w:val="3B493837"/>
    <w:rsid w:val="3B52306C"/>
    <w:rsid w:val="3B611089"/>
    <w:rsid w:val="3B6A1E20"/>
    <w:rsid w:val="3B6E19D8"/>
    <w:rsid w:val="3B910C44"/>
    <w:rsid w:val="3C1C0592"/>
    <w:rsid w:val="3C516CC1"/>
    <w:rsid w:val="3C5847AA"/>
    <w:rsid w:val="3C9F6621"/>
    <w:rsid w:val="3CB53A2C"/>
    <w:rsid w:val="3CE079D3"/>
    <w:rsid w:val="3CF92703"/>
    <w:rsid w:val="3CFA38C6"/>
    <w:rsid w:val="3D036A78"/>
    <w:rsid w:val="3D0B5F69"/>
    <w:rsid w:val="3D105E2A"/>
    <w:rsid w:val="3D140FA3"/>
    <w:rsid w:val="3D1A24A8"/>
    <w:rsid w:val="3D412BB2"/>
    <w:rsid w:val="3D61709F"/>
    <w:rsid w:val="3D897FD2"/>
    <w:rsid w:val="3D912D0A"/>
    <w:rsid w:val="3DA70804"/>
    <w:rsid w:val="3DB04F0C"/>
    <w:rsid w:val="3DFD29A6"/>
    <w:rsid w:val="3E112313"/>
    <w:rsid w:val="3E2D2639"/>
    <w:rsid w:val="3E300F4C"/>
    <w:rsid w:val="3E3D171A"/>
    <w:rsid w:val="3E410AE4"/>
    <w:rsid w:val="3E6476C3"/>
    <w:rsid w:val="3E650C61"/>
    <w:rsid w:val="3E8B3D4C"/>
    <w:rsid w:val="3E943D51"/>
    <w:rsid w:val="3E9E7BF0"/>
    <w:rsid w:val="3ED30DB8"/>
    <w:rsid w:val="3F78613C"/>
    <w:rsid w:val="3FA3509C"/>
    <w:rsid w:val="3FB23563"/>
    <w:rsid w:val="3FF2267E"/>
    <w:rsid w:val="40011F26"/>
    <w:rsid w:val="400E0DAE"/>
    <w:rsid w:val="40331CE0"/>
    <w:rsid w:val="408F2671"/>
    <w:rsid w:val="409D1EB1"/>
    <w:rsid w:val="40AA56DE"/>
    <w:rsid w:val="40DD6897"/>
    <w:rsid w:val="40FF4FCB"/>
    <w:rsid w:val="411A2C84"/>
    <w:rsid w:val="412067A0"/>
    <w:rsid w:val="41352649"/>
    <w:rsid w:val="417E0F81"/>
    <w:rsid w:val="41801629"/>
    <w:rsid w:val="41B07122"/>
    <w:rsid w:val="41D20053"/>
    <w:rsid w:val="41E719A3"/>
    <w:rsid w:val="42242320"/>
    <w:rsid w:val="422A268A"/>
    <w:rsid w:val="42481CF7"/>
    <w:rsid w:val="425055C3"/>
    <w:rsid w:val="42505BFA"/>
    <w:rsid w:val="427252F9"/>
    <w:rsid w:val="428D3507"/>
    <w:rsid w:val="42AE784B"/>
    <w:rsid w:val="42B51BFD"/>
    <w:rsid w:val="42BA0E68"/>
    <w:rsid w:val="42BF43BA"/>
    <w:rsid w:val="43562ADC"/>
    <w:rsid w:val="438D657F"/>
    <w:rsid w:val="43907D8D"/>
    <w:rsid w:val="44041D3B"/>
    <w:rsid w:val="443127E6"/>
    <w:rsid w:val="443461B7"/>
    <w:rsid w:val="44360E5C"/>
    <w:rsid w:val="444B6F0B"/>
    <w:rsid w:val="446036AF"/>
    <w:rsid w:val="44D073E8"/>
    <w:rsid w:val="44FC7513"/>
    <w:rsid w:val="45982A11"/>
    <w:rsid w:val="459C3AC6"/>
    <w:rsid w:val="45B2270B"/>
    <w:rsid w:val="45C767DD"/>
    <w:rsid w:val="45D03C5F"/>
    <w:rsid w:val="45F94373"/>
    <w:rsid w:val="45FD44BC"/>
    <w:rsid w:val="460D1B0C"/>
    <w:rsid w:val="46100242"/>
    <w:rsid w:val="462618C5"/>
    <w:rsid w:val="465A7F6E"/>
    <w:rsid w:val="46A36894"/>
    <w:rsid w:val="46C07857"/>
    <w:rsid w:val="46CB3712"/>
    <w:rsid w:val="46EE63EF"/>
    <w:rsid w:val="46F64735"/>
    <w:rsid w:val="479A2B98"/>
    <w:rsid w:val="47A872E3"/>
    <w:rsid w:val="47BC438A"/>
    <w:rsid w:val="47C12495"/>
    <w:rsid w:val="47DB65E0"/>
    <w:rsid w:val="47EB552C"/>
    <w:rsid w:val="481D4CD3"/>
    <w:rsid w:val="482C21D5"/>
    <w:rsid w:val="4849385B"/>
    <w:rsid w:val="484D5F67"/>
    <w:rsid w:val="48612C47"/>
    <w:rsid w:val="48906E13"/>
    <w:rsid w:val="48B45F87"/>
    <w:rsid w:val="48C576B0"/>
    <w:rsid w:val="48C72E11"/>
    <w:rsid w:val="48D97EEB"/>
    <w:rsid w:val="49300AEA"/>
    <w:rsid w:val="49370B31"/>
    <w:rsid w:val="493A3CB4"/>
    <w:rsid w:val="49431385"/>
    <w:rsid w:val="494C45B6"/>
    <w:rsid w:val="49753A90"/>
    <w:rsid w:val="498923AC"/>
    <w:rsid w:val="49904846"/>
    <w:rsid w:val="49AB09DF"/>
    <w:rsid w:val="49CF1161"/>
    <w:rsid w:val="49E24CD8"/>
    <w:rsid w:val="49E54B4B"/>
    <w:rsid w:val="49F96A35"/>
    <w:rsid w:val="4A30015B"/>
    <w:rsid w:val="4A5C0ABE"/>
    <w:rsid w:val="4A7C1F87"/>
    <w:rsid w:val="4A7E341F"/>
    <w:rsid w:val="4AB661F1"/>
    <w:rsid w:val="4AE91781"/>
    <w:rsid w:val="4AED26CE"/>
    <w:rsid w:val="4B090ED8"/>
    <w:rsid w:val="4B4C4B80"/>
    <w:rsid w:val="4B725B9F"/>
    <w:rsid w:val="4B783F8B"/>
    <w:rsid w:val="4BDE7517"/>
    <w:rsid w:val="4BF759F2"/>
    <w:rsid w:val="4C1B7F6E"/>
    <w:rsid w:val="4C207508"/>
    <w:rsid w:val="4C5E0E4F"/>
    <w:rsid w:val="4C892930"/>
    <w:rsid w:val="4C995F4E"/>
    <w:rsid w:val="4CB243E1"/>
    <w:rsid w:val="4CF237DA"/>
    <w:rsid w:val="4CFE0587"/>
    <w:rsid w:val="4D1B4BF6"/>
    <w:rsid w:val="4D1B722B"/>
    <w:rsid w:val="4D2F0A63"/>
    <w:rsid w:val="4D7C623F"/>
    <w:rsid w:val="4D8A359A"/>
    <w:rsid w:val="4DA92355"/>
    <w:rsid w:val="4DB94E2E"/>
    <w:rsid w:val="4E131D00"/>
    <w:rsid w:val="4E223471"/>
    <w:rsid w:val="4E362315"/>
    <w:rsid w:val="4E584C84"/>
    <w:rsid w:val="4E741ED0"/>
    <w:rsid w:val="4EA43A1B"/>
    <w:rsid w:val="4EB62A4C"/>
    <w:rsid w:val="4EBD06E3"/>
    <w:rsid w:val="4EC32CBB"/>
    <w:rsid w:val="4F1722F7"/>
    <w:rsid w:val="4F1F43F5"/>
    <w:rsid w:val="4F804513"/>
    <w:rsid w:val="4F896088"/>
    <w:rsid w:val="4FAA2B3A"/>
    <w:rsid w:val="4FC43821"/>
    <w:rsid w:val="4FD14CD4"/>
    <w:rsid w:val="4FDE325D"/>
    <w:rsid w:val="500C613C"/>
    <w:rsid w:val="501E37EE"/>
    <w:rsid w:val="502505A4"/>
    <w:rsid w:val="509A2975"/>
    <w:rsid w:val="50DD7E98"/>
    <w:rsid w:val="511F69F4"/>
    <w:rsid w:val="51315C39"/>
    <w:rsid w:val="518126A5"/>
    <w:rsid w:val="519707E9"/>
    <w:rsid w:val="51B61A8B"/>
    <w:rsid w:val="51D719E2"/>
    <w:rsid w:val="52071443"/>
    <w:rsid w:val="52195BA8"/>
    <w:rsid w:val="52251AD4"/>
    <w:rsid w:val="523A04D8"/>
    <w:rsid w:val="524E70C2"/>
    <w:rsid w:val="52595881"/>
    <w:rsid w:val="526079B1"/>
    <w:rsid w:val="52CB7AF6"/>
    <w:rsid w:val="531F4BD1"/>
    <w:rsid w:val="53367F96"/>
    <w:rsid w:val="5364483A"/>
    <w:rsid w:val="537401DE"/>
    <w:rsid w:val="53811779"/>
    <w:rsid w:val="53A36341"/>
    <w:rsid w:val="53B41778"/>
    <w:rsid w:val="53B571B4"/>
    <w:rsid w:val="53CF0730"/>
    <w:rsid w:val="53D14AAF"/>
    <w:rsid w:val="53D2507A"/>
    <w:rsid w:val="53EC76D4"/>
    <w:rsid w:val="53F32262"/>
    <w:rsid w:val="54112301"/>
    <w:rsid w:val="542F552D"/>
    <w:rsid w:val="54424E4C"/>
    <w:rsid w:val="54525AA3"/>
    <w:rsid w:val="546351FE"/>
    <w:rsid w:val="5471010A"/>
    <w:rsid w:val="5482266A"/>
    <w:rsid w:val="54A056B6"/>
    <w:rsid w:val="54C50FE0"/>
    <w:rsid w:val="54FB3324"/>
    <w:rsid w:val="5501496A"/>
    <w:rsid w:val="55253C1F"/>
    <w:rsid w:val="55333692"/>
    <w:rsid w:val="553A0609"/>
    <w:rsid w:val="55682E56"/>
    <w:rsid w:val="557A28BA"/>
    <w:rsid w:val="55C11C29"/>
    <w:rsid w:val="55C24AC8"/>
    <w:rsid w:val="55C70C38"/>
    <w:rsid w:val="55F7157C"/>
    <w:rsid w:val="55FC5E73"/>
    <w:rsid w:val="561A34E3"/>
    <w:rsid w:val="56462000"/>
    <w:rsid w:val="566738A0"/>
    <w:rsid w:val="56846571"/>
    <w:rsid w:val="569E41E4"/>
    <w:rsid w:val="56E32B00"/>
    <w:rsid w:val="56E92D80"/>
    <w:rsid w:val="57341025"/>
    <w:rsid w:val="574667C0"/>
    <w:rsid w:val="576D18CD"/>
    <w:rsid w:val="57727232"/>
    <w:rsid w:val="5784243C"/>
    <w:rsid w:val="57996412"/>
    <w:rsid w:val="57B572B3"/>
    <w:rsid w:val="57D46450"/>
    <w:rsid w:val="57D73417"/>
    <w:rsid w:val="57EB6225"/>
    <w:rsid w:val="58222DAE"/>
    <w:rsid w:val="58270A4A"/>
    <w:rsid w:val="583B614D"/>
    <w:rsid w:val="585D0BD4"/>
    <w:rsid w:val="587011E2"/>
    <w:rsid w:val="58A00B3E"/>
    <w:rsid w:val="58C6432E"/>
    <w:rsid w:val="58C74FDC"/>
    <w:rsid w:val="58C87FF1"/>
    <w:rsid w:val="58CA764F"/>
    <w:rsid w:val="58F15E2B"/>
    <w:rsid w:val="58F71AEC"/>
    <w:rsid w:val="593E4586"/>
    <w:rsid w:val="59692E1C"/>
    <w:rsid w:val="59955B00"/>
    <w:rsid w:val="59993E35"/>
    <w:rsid w:val="59B06ECC"/>
    <w:rsid w:val="59BB0FC8"/>
    <w:rsid w:val="59E05E99"/>
    <w:rsid w:val="59ED1953"/>
    <w:rsid w:val="59FB00B6"/>
    <w:rsid w:val="59FE5684"/>
    <w:rsid w:val="5A443D90"/>
    <w:rsid w:val="5A4D58FF"/>
    <w:rsid w:val="5A70190C"/>
    <w:rsid w:val="5A805B0A"/>
    <w:rsid w:val="5A8B2679"/>
    <w:rsid w:val="5AA85FFE"/>
    <w:rsid w:val="5ACF62F5"/>
    <w:rsid w:val="5AD65E5C"/>
    <w:rsid w:val="5B427153"/>
    <w:rsid w:val="5B502106"/>
    <w:rsid w:val="5B5F032B"/>
    <w:rsid w:val="5BA52B3D"/>
    <w:rsid w:val="5BC02C8B"/>
    <w:rsid w:val="5BC45FC0"/>
    <w:rsid w:val="5C1926BC"/>
    <w:rsid w:val="5C9F5710"/>
    <w:rsid w:val="5CC15592"/>
    <w:rsid w:val="5CE329E1"/>
    <w:rsid w:val="5D227A80"/>
    <w:rsid w:val="5D3339BE"/>
    <w:rsid w:val="5D347E58"/>
    <w:rsid w:val="5D590323"/>
    <w:rsid w:val="5D6C036B"/>
    <w:rsid w:val="5D923009"/>
    <w:rsid w:val="5D926B43"/>
    <w:rsid w:val="5DBC3336"/>
    <w:rsid w:val="5DD748DD"/>
    <w:rsid w:val="5DE74E6C"/>
    <w:rsid w:val="5DF61F72"/>
    <w:rsid w:val="5E2409F5"/>
    <w:rsid w:val="5E660EDB"/>
    <w:rsid w:val="5E8D7FDA"/>
    <w:rsid w:val="5E9858EF"/>
    <w:rsid w:val="5EA42163"/>
    <w:rsid w:val="5EB920E2"/>
    <w:rsid w:val="5EDD1910"/>
    <w:rsid w:val="5EE04BB8"/>
    <w:rsid w:val="5F04518C"/>
    <w:rsid w:val="5F0B2C9B"/>
    <w:rsid w:val="5F180F96"/>
    <w:rsid w:val="5F2627B9"/>
    <w:rsid w:val="5F79590E"/>
    <w:rsid w:val="5F911F08"/>
    <w:rsid w:val="5FC14EFD"/>
    <w:rsid w:val="5FD26B66"/>
    <w:rsid w:val="60254F81"/>
    <w:rsid w:val="60310C7C"/>
    <w:rsid w:val="60384F12"/>
    <w:rsid w:val="60435098"/>
    <w:rsid w:val="60567AD9"/>
    <w:rsid w:val="60804D3F"/>
    <w:rsid w:val="60CC59CB"/>
    <w:rsid w:val="60FC636B"/>
    <w:rsid w:val="612660A5"/>
    <w:rsid w:val="613709E3"/>
    <w:rsid w:val="6151141E"/>
    <w:rsid w:val="61722B3F"/>
    <w:rsid w:val="6182292A"/>
    <w:rsid w:val="61C53E13"/>
    <w:rsid w:val="61CA3250"/>
    <w:rsid w:val="622007B8"/>
    <w:rsid w:val="627156EC"/>
    <w:rsid w:val="62A154D9"/>
    <w:rsid w:val="62AA0255"/>
    <w:rsid w:val="62BA5A5F"/>
    <w:rsid w:val="62DA63F9"/>
    <w:rsid w:val="62E72F2E"/>
    <w:rsid w:val="632334C3"/>
    <w:rsid w:val="63300907"/>
    <w:rsid w:val="6344336F"/>
    <w:rsid w:val="63550121"/>
    <w:rsid w:val="635D1336"/>
    <w:rsid w:val="63723AA1"/>
    <w:rsid w:val="639926E5"/>
    <w:rsid w:val="63A23524"/>
    <w:rsid w:val="63C575FA"/>
    <w:rsid w:val="640B2074"/>
    <w:rsid w:val="640E515F"/>
    <w:rsid w:val="641E51B4"/>
    <w:rsid w:val="64450314"/>
    <w:rsid w:val="644665A5"/>
    <w:rsid w:val="64553B02"/>
    <w:rsid w:val="64671EC0"/>
    <w:rsid w:val="647259D1"/>
    <w:rsid w:val="64805709"/>
    <w:rsid w:val="64A36166"/>
    <w:rsid w:val="64BE37EE"/>
    <w:rsid w:val="64BF2BF8"/>
    <w:rsid w:val="64C74B8C"/>
    <w:rsid w:val="64E07D0C"/>
    <w:rsid w:val="65551CB2"/>
    <w:rsid w:val="656D228B"/>
    <w:rsid w:val="65AA45DE"/>
    <w:rsid w:val="65CE324B"/>
    <w:rsid w:val="65D23CA9"/>
    <w:rsid w:val="65FC516D"/>
    <w:rsid w:val="662C39C8"/>
    <w:rsid w:val="664408C2"/>
    <w:rsid w:val="66953250"/>
    <w:rsid w:val="66B2418B"/>
    <w:rsid w:val="66B35D41"/>
    <w:rsid w:val="66CD7CAB"/>
    <w:rsid w:val="66E156A4"/>
    <w:rsid w:val="673F13A8"/>
    <w:rsid w:val="67762C5A"/>
    <w:rsid w:val="677B1DC1"/>
    <w:rsid w:val="679C61A8"/>
    <w:rsid w:val="682338DA"/>
    <w:rsid w:val="682670A7"/>
    <w:rsid w:val="686A57F4"/>
    <w:rsid w:val="686F0ED6"/>
    <w:rsid w:val="688065AF"/>
    <w:rsid w:val="68B3163F"/>
    <w:rsid w:val="68B82F1B"/>
    <w:rsid w:val="68DD62FD"/>
    <w:rsid w:val="69437CD3"/>
    <w:rsid w:val="69596176"/>
    <w:rsid w:val="69715EAB"/>
    <w:rsid w:val="698F64F4"/>
    <w:rsid w:val="69DA218B"/>
    <w:rsid w:val="6A066A02"/>
    <w:rsid w:val="6A16113C"/>
    <w:rsid w:val="6A1B5BB2"/>
    <w:rsid w:val="6A3A6264"/>
    <w:rsid w:val="6A560150"/>
    <w:rsid w:val="6A792EA1"/>
    <w:rsid w:val="6A7959E8"/>
    <w:rsid w:val="6A9E1CBF"/>
    <w:rsid w:val="6AA11994"/>
    <w:rsid w:val="6ABC7372"/>
    <w:rsid w:val="6AEA7C8A"/>
    <w:rsid w:val="6AF12F2B"/>
    <w:rsid w:val="6B0E42B3"/>
    <w:rsid w:val="6B280CA4"/>
    <w:rsid w:val="6B344535"/>
    <w:rsid w:val="6B4D67B1"/>
    <w:rsid w:val="6B6801F8"/>
    <w:rsid w:val="6BA86A63"/>
    <w:rsid w:val="6BAE25B4"/>
    <w:rsid w:val="6BBD7EB2"/>
    <w:rsid w:val="6BC4309E"/>
    <w:rsid w:val="6BFA00DB"/>
    <w:rsid w:val="6C385739"/>
    <w:rsid w:val="6C670C36"/>
    <w:rsid w:val="6CA478A0"/>
    <w:rsid w:val="6CC80137"/>
    <w:rsid w:val="6CE811E8"/>
    <w:rsid w:val="6D086ED7"/>
    <w:rsid w:val="6D4C1889"/>
    <w:rsid w:val="6D7E663B"/>
    <w:rsid w:val="6D9C140F"/>
    <w:rsid w:val="6DC00853"/>
    <w:rsid w:val="6DC37CA0"/>
    <w:rsid w:val="6DDC5FEF"/>
    <w:rsid w:val="6DF2697F"/>
    <w:rsid w:val="6E240D90"/>
    <w:rsid w:val="6E2C22B2"/>
    <w:rsid w:val="6E3750C5"/>
    <w:rsid w:val="6E393F83"/>
    <w:rsid w:val="6E3F46CC"/>
    <w:rsid w:val="6E627197"/>
    <w:rsid w:val="6E6F727F"/>
    <w:rsid w:val="6E74363E"/>
    <w:rsid w:val="6E7D4D37"/>
    <w:rsid w:val="6E8F4CBF"/>
    <w:rsid w:val="6ED6567C"/>
    <w:rsid w:val="6EE8132F"/>
    <w:rsid w:val="6F21311C"/>
    <w:rsid w:val="6F3E4302"/>
    <w:rsid w:val="6F5278C9"/>
    <w:rsid w:val="6F881522"/>
    <w:rsid w:val="6FDB2D9D"/>
    <w:rsid w:val="6FDC0338"/>
    <w:rsid w:val="701A100B"/>
    <w:rsid w:val="701E26D2"/>
    <w:rsid w:val="70745CC2"/>
    <w:rsid w:val="708141F5"/>
    <w:rsid w:val="70FA32DC"/>
    <w:rsid w:val="71040D3A"/>
    <w:rsid w:val="710A559C"/>
    <w:rsid w:val="71317A20"/>
    <w:rsid w:val="713952F0"/>
    <w:rsid w:val="713E452D"/>
    <w:rsid w:val="7148395B"/>
    <w:rsid w:val="71870893"/>
    <w:rsid w:val="71951611"/>
    <w:rsid w:val="71A91716"/>
    <w:rsid w:val="71D76A8E"/>
    <w:rsid w:val="72215AE9"/>
    <w:rsid w:val="7244764E"/>
    <w:rsid w:val="7247080B"/>
    <w:rsid w:val="727A55B2"/>
    <w:rsid w:val="729723C8"/>
    <w:rsid w:val="72AC1AF1"/>
    <w:rsid w:val="72C25180"/>
    <w:rsid w:val="72C6146E"/>
    <w:rsid w:val="72CE7313"/>
    <w:rsid w:val="72DC6DCE"/>
    <w:rsid w:val="72E701C1"/>
    <w:rsid w:val="73210637"/>
    <w:rsid w:val="73311A79"/>
    <w:rsid w:val="73813536"/>
    <w:rsid w:val="73822360"/>
    <w:rsid w:val="73A8396B"/>
    <w:rsid w:val="73C9400B"/>
    <w:rsid w:val="73CD74CB"/>
    <w:rsid w:val="73E8291F"/>
    <w:rsid w:val="74003696"/>
    <w:rsid w:val="74185FD6"/>
    <w:rsid w:val="743D61DA"/>
    <w:rsid w:val="7445176C"/>
    <w:rsid w:val="747203C6"/>
    <w:rsid w:val="7476258E"/>
    <w:rsid w:val="74955D2B"/>
    <w:rsid w:val="74A57FB7"/>
    <w:rsid w:val="74B116EF"/>
    <w:rsid w:val="74D57148"/>
    <w:rsid w:val="75256005"/>
    <w:rsid w:val="75313AA1"/>
    <w:rsid w:val="753E76F7"/>
    <w:rsid w:val="754107AC"/>
    <w:rsid w:val="754B31A6"/>
    <w:rsid w:val="755600A7"/>
    <w:rsid w:val="75711CE2"/>
    <w:rsid w:val="75CA23A6"/>
    <w:rsid w:val="75EC5C91"/>
    <w:rsid w:val="75F4035E"/>
    <w:rsid w:val="76160D42"/>
    <w:rsid w:val="764F4CA6"/>
    <w:rsid w:val="76881C41"/>
    <w:rsid w:val="76AB0A6E"/>
    <w:rsid w:val="76BA33FA"/>
    <w:rsid w:val="76C25AB5"/>
    <w:rsid w:val="76CC2257"/>
    <w:rsid w:val="773B790E"/>
    <w:rsid w:val="77681858"/>
    <w:rsid w:val="777271A3"/>
    <w:rsid w:val="77DC4459"/>
    <w:rsid w:val="77F5036E"/>
    <w:rsid w:val="77FD3BA6"/>
    <w:rsid w:val="77FF2645"/>
    <w:rsid w:val="782D2F68"/>
    <w:rsid w:val="78726E63"/>
    <w:rsid w:val="78754C17"/>
    <w:rsid w:val="788C0D77"/>
    <w:rsid w:val="78915BE9"/>
    <w:rsid w:val="789F4DA8"/>
    <w:rsid w:val="78B158D0"/>
    <w:rsid w:val="78B43B66"/>
    <w:rsid w:val="78B50C1C"/>
    <w:rsid w:val="78D449E2"/>
    <w:rsid w:val="78D44C45"/>
    <w:rsid w:val="79757E47"/>
    <w:rsid w:val="79A53194"/>
    <w:rsid w:val="79B260B5"/>
    <w:rsid w:val="79B650E3"/>
    <w:rsid w:val="79DD5579"/>
    <w:rsid w:val="79E01A79"/>
    <w:rsid w:val="79F53E07"/>
    <w:rsid w:val="7A071266"/>
    <w:rsid w:val="7A3563CF"/>
    <w:rsid w:val="7A385FF7"/>
    <w:rsid w:val="7A4154A8"/>
    <w:rsid w:val="7A513813"/>
    <w:rsid w:val="7A55245C"/>
    <w:rsid w:val="7A6B0B77"/>
    <w:rsid w:val="7AAB0E6A"/>
    <w:rsid w:val="7B006C35"/>
    <w:rsid w:val="7B0321EC"/>
    <w:rsid w:val="7B05466C"/>
    <w:rsid w:val="7B1B71F9"/>
    <w:rsid w:val="7B3D0649"/>
    <w:rsid w:val="7B450D6E"/>
    <w:rsid w:val="7B555CC6"/>
    <w:rsid w:val="7B75438D"/>
    <w:rsid w:val="7BE81FC4"/>
    <w:rsid w:val="7C4062EA"/>
    <w:rsid w:val="7C5461B0"/>
    <w:rsid w:val="7C6529AE"/>
    <w:rsid w:val="7C6B2060"/>
    <w:rsid w:val="7C7654BC"/>
    <w:rsid w:val="7C7B7C1A"/>
    <w:rsid w:val="7C817B2E"/>
    <w:rsid w:val="7C90666A"/>
    <w:rsid w:val="7CEF79AD"/>
    <w:rsid w:val="7D3A273C"/>
    <w:rsid w:val="7D5137FB"/>
    <w:rsid w:val="7D8E3CBC"/>
    <w:rsid w:val="7DCC7DC4"/>
    <w:rsid w:val="7E024D2B"/>
    <w:rsid w:val="7E1D4172"/>
    <w:rsid w:val="7E20338B"/>
    <w:rsid w:val="7E525B7E"/>
    <w:rsid w:val="7E6D2265"/>
    <w:rsid w:val="7E8555A9"/>
    <w:rsid w:val="7E8633F5"/>
    <w:rsid w:val="7EBA4E3B"/>
    <w:rsid w:val="7F5F2137"/>
    <w:rsid w:val="7F8C5F11"/>
    <w:rsid w:val="7FE82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7"/>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line="360" w:lineRule="auto"/>
    </w:pPr>
    <w:rPr>
      <w:rFonts w:eastAsia="宋体"/>
      <w:sz w:val="24"/>
    </w:rPr>
  </w:style>
  <w:style w:type="paragraph" w:customStyle="1" w:styleId="3">
    <w:name w:val="Body Text Indent1"/>
    <w:basedOn w:val="1"/>
    <w:qFormat/>
    <w:uiPriority w:val="0"/>
    <w:pPr>
      <w:spacing w:line="150" w:lineRule="atLeast"/>
      <w:ind w:firstLine="420" w:firstLineChars="200"/>
      <w:textAlignment w:val="baseline"/>
    </w:pPr>
  </w:style>
  <w:style w:type="paragraph" w:styleId="7">
    <w:name w:val="Normal Indent"/>
    <w:next w:val="1"/>
    <w:qFormat/>
    <w:uiPriority w:val="0"/>
    <w:pPr>
      <w:widowControl w:val="0"/>
      <w:ind w:firstLine="420"/>
      <w:jc w:val="both"/>
    </w:pPr>
    <w:rPr>
      <w:rFonts w:ascii="等线" w:hAnsi="等线" w:eastAsia="等线" w:cs="黑体"/>
      <w:kern w:val="2"/>
      <w:sz w:val="21"/>
      <w:szCs w:val="22"/>
      <w:lang w:val="en-US" w:eastAsia="zh-CN" w:bidi="ar-SA"/>
    </w:rPr>
  </w:style>
  <w:style w:type="paragraph" w:styleId="8">
    <w:name w:val="annotation text"/>
    <w:basedOn w:val="1"/>
    <w:qFormat/>
    <w:uiPriority w:val="0"/>
    <w:pPr>
      <w:jc w:val="left"/>
    </w:pPr>
  </w:style>
  <w:style w:type="paragraph" w:styleId="9">
    <w:name w:val="Body Text"/>
    <w:basedOn w:val="1"/>
    <w:qFormat/>
    <w:uiPriority w:val="1"/>
    <w:rPr>
      <w:rFonts w:ascii="Arial Unicode MS" w:hAnsi="Arial Unicode MS" w:eastAsia="Arial Unicode MS" w:cs="Arial Unicode MS"/>
      <w:sz w:val="32"/>
      <w:szCs w:val="32"/>
      <w:lang w:val="zh-CN" w:bidi="zh-CN"/>
    </w:rPr>
  </w:style>
  <w:style w:type="paragraph" w:styleId="10">
    <w:name w:val="toc 3"/>
    <w:basedOn w:val="1"/>
    <w:next w:val="1"/>
    <w:qFormat/>
    <w:uiPriority w:val="39"/>
    <w:pPr>
      <w:ind w:left="840" w:leftChars="400"/>
    </w:pPr>
  </w:style>
  <w:style w:type="paragraph" w:styleId="11">
    <w:name w:val="Balloon Text"/>
    <w:basedOn w:val="1"/>
    <w:link w:val="29"/>
    <w:qFormat/>
    <w:uiPriority w:val="0"/>
    <w:rPr>
      <w:sz w:val="18"/>
      <w:szCs w:val="18"/>
    </w:rPr>
  </w:style>
  <w:style w:type="paragraph" w:styleId="12">
    <w:name w:val="footer"/>
    <w:basedOn w:val="1"/>
    <w:link w:val="31"/>
    <w:qFormat/>
    <w:uiPriority w:val="99"/>
    <w:pPr>
      <w:tabs>
        <w:tab w:val="center" w:pos="4153"/>
        <w:tab w:val="right" w:pos="8306"/>
      </w:tabs>
      <w:snapToGrid w:val="0"/>
      <w:jc w:val="left"/>
    </w:pPr>
    <w:rPr>
      <w:sz w:val="18"/>
      <w:szCs w:val="18"/>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39"/>
    <w:pPr>
      <w:ind w:left="420" w:leftChars="200"/>
    </w:pPr>
  </w:style>
  <w:style w:type="paragraph" w:styleId="17">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Emphasis"/>
    <w:basedOn w:val="20"/>
    <w:qFormat/>
    <w:uiPriority w:val="0"/>
    <w:rPr>
      <w:i/>
    </w:rPr>
  </w:style>
  <w:style w:type="character" w:styleId="23">
    <w:name w:val="Hyperlink"/>
    <w:basedOn w:val="20"/>
    <w:unhideWhenUsed/>
    <w:qFormat/>
    <w:uiPriority w:val="99"/>
    <w:rPr>
      <w:color w:val="0563C1" w:themeColor="hyperlink"/>
      <w:u w:val="single"/>
      <w14:textFill>
        <w14:solidFill>
          <w14:schemeClr w14:val="hlink"/>
        </w14:solidFill>
      </w14:textFill>
    </w:rPr>
  </w:style>
  <w:style w:type="character" w:styleId="24">
    <w:name w:val="footnote reference"/>
    <w:basedOn w:val="20"/>
    <w:unhideWhenUsed/>
    <w:qFormat/>
    <w:uiPriority w:val="0"/>
    <w:rPr>
      <w:vertAlign w:val="superscript"/>
    </w:rPr>
  </w:style>
  <w:style w:type="paragraph" w:customStyle="1" w:styleId="25">
    <w:name w:val="Body Text First Indent 2"/>
    <w:basedOn w:val="26"/>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lang w:val="en-US" w:eastAsia="zh-CN" w:bidi="ar-SA"/>
    </w:rPr>
  </w:style>
  <w:style w:type="paragraph" w:customStyle="1" w:styleId="26">
    <w:name w:val="Body Text Indent"/>
    <w:qFormat/>
    <w:uiPriority w:val="0"/>
    <w:pPr>
      <w:widowControl w:val="0"/>
      <w:spacing w:line="150" w:lineRule="atLeast"/>
      <w:ind w:firstLine="420" w:firstLineChars="200"/>
      <w:jc w:val="both"/>
      <w:textAlignment w:val="baseline"/>
    </w:pPr>
    <w:rPr>
      <w:rFonts w:ascii="Times New Roman" w:hAnsi="Times New Roman" w:eastAsia="宋体" w:cs="Times New Roman"/>
      <w:kern w:val="2"/>
      <w:sz w:val="21"/>
      <w:lang w:val="en-US" w:eastAsia="zh-CN" w:bidi="ar-SA"/>
    </w:rPr>
  </w:style>
  <w:style w:type="paragraph" w:styleId="27">
    <w:name w:val="No Spacing"/>
    <w:qFormat/>
    <w:uiPriority w:val="1"/>
    <w:pPr>
      <w:widowControl w:val="0"/>
      <w:jc w:val="both"/>
    </w:pPr>
    <w:rPr>
      <w:rFonts w:ascii="等线" w:hAnsi="等线" w:eastAsia="等线" w:cs="宋体"/>
      <w:kern w:val="2"/>
      <w:sz w:val="21"/>
      <w:szCs w:val="22"/>
      <w:lang w:val="en-US" w:eastAsia="zh-CN" w:bidi="ar-SA"/>
    </w:rPr>
  </w:style>
  <w:style w:type="character" w:customStyle="1" w:styleId="28">
    <w:name w:val="fontstyle01"/>
    <w:basedOn w:val="20"/>
    <w:qFormat/>
    <w:uiPriority w:val="0"/>
    <w:rPr>
      <w:rFonts w:hint="eastAsia" w:ascii="仿宋_GB2312" w:eastAsia="仿宋_GB2312"/>
      <w:color w:val="000000"/>
      <w:sz w:val="32"/>
      <w:szCs w:val="32"/>
    </w:rPr>
  </w:style>
  <w:style w:type="character" w:customStyle="1" w:styleId="29">
    <w:name w:val="批注框文本 字符"/>
    <w:basedOn w:val="20"/>
    <w:link w:val="11"/>
    <w:qFormat/>
    <w:uiPriority w:val="0"/>
    <w:rPr>
      <w:rFonts w:asciiTheme="minorHAnsi" w:hAnsiTheme="minorHAnsi" w:eastAsiaTheme="minorEastAsia" w:cstheme="minorBidi"/>
      <w:kern w:val="2"/>
      <w:sz w:val="18"/>
      <w:szCs w:val="18"/>
    </w:rPr>
  </w:style>
  <w:style w:type="character" w:customStyle="1" w:styleId="30">
    <w:name w:val="页眉 字符"/>
    <w:basedOn w:val="20"/>
    <w:link w:val="13"/>
    <w:qFormat/>
    <w:uiPriority w:val="0"/>
    <w:rPr>
      <w:rFonts w:asciiTheme="minorHAnsi" w:hAnsiTheme="minorHAnsi" w:eastAsiaTheme="minorEastAsia" w:cstheme="minorBidi"/>
      <w:kern w:val="2"/>
      <w:sz w:val="18"/>
      <w:szCs w:val="18"/>
    </w:rPr>
  </w:style>
  <w:style w:type="character" w:customStyle="1" w:styleId="31">
    <w:name w:val="页脚 字符"/>
    <w:basedOn w:val="20"/>
    <w:link w:val="12"/>
    <w:qFormat/>
    <w:uiPriority w:val="99"/>
    <w:rPr>
      <w:rFonts w:asciiTheme="minorHAnsi" w:hAnsiTheme="minorHAnsi" w:eastAsiaTheme="minorEastAsia" w:cstheme="minorBidi"/>
      <w:kern w:val="2"/>
      <w:sz w:val="18"/>
      <w:szCs w:val="18"/>
    </w:rPr>
  </w:style>
  <w:style w:type="character" w:customStyle="1" w:styleId="32">
    <w:name w:val="标题 1 字符"/>
    <w:basedOn w:val="20"/>
    <w:link w:val="4"/>
    <w:qFormat/>
    <w:uiPriority w:val="0"/>
    <w:rPr>
      <w:rFonts w:asciiTheme="minorHAnsi" w:hAnsiTheme="minorHAnsi" w:eastAsiaTheme="minorEastAsia" w:cstheme="minorBidi"/>
      <w:b/>
      <w:bCs/>
      <w:kern w:val="44"/>
      <w:sz w:val="44"/>
      <w:szCs w:val="44"/>
    </w:rPr>
  </w:style>
  <w:style w:type="character" w:customStyle="1" w:styleId="33">
    <w:name w:val="标题 2 字符"/>
    <w:basedOn w:val="20"/>
    <w:link w:val="5"/>
    <w:qFormat/>
    <w:uiPriority w:val="0"/>
    <w:rPr>
      <w:rFonts w:asciiTheme="majorHAnsi" w:hAnsiTheme="majorHAnsi" w:eastAsiaTheme="majorEastAsia" w:cstheme="majorBidi"/>
      <w:b/>
      <w:bCs/>
      <w:kern w:val="2"/>
      <w:sz w:val="32"/>
      <w:szCs w:val="32"/>
    </w:rPr>
  </w:style>
  <w:style w:type="character" w:customStyle="1" w:styleId="34">
    <w:name w:val="标题 3 字符"/>
    <w:basedOn w:val="20"/>
    <w:link w:val="6"/>
    <w:qFormat/>
    <w:uiPriority w:val="0"/>
    <w:rPr>
      <w:rFonts w:asciiTheme="minorHAnsi" w:hAnsiTheme="minorHAnsi" w:eastAsiaTheme="minorEastAsia" w:cstheme="minorBidi"/>
      <w:b/>
      <w:bCs/>
      <w:kern w:val="2"/>
      <w:sz w:val="32"/>
      <w:szCs w:val="32"/>
    </w:rPr>
  </w:style>
  <w:style w:type="paragraph" w:customStyle="1" w:styleId="35">
    <w:name w:val="TOC Heading"/>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36">
    <w:name w:val="列出段落1"/>
    <w:basedOn w:val="1"/>
    <w:qFormat/>
    <w:uiPriority w:val="34"/>
    <w:pPr>
      <w:ind w:firstLine="420" w:firstLineChars="200"/>
    </w:pPr>
  </w:style>
  <w:style w:type="character" w:customStyle="1" w:styleId="37">
    <w:name w:val="标题 3 Char"/>
    <w:link w:val="6"/>
    <w:qFormat/>
    <w:uiPriority w:val="0"/>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56D7E8-2489-49EA-AB99-81EAD82B4169}">
  <ds:schemaRefs/>
</ds:datastoreItem>
</file>

<file path=docProps/app.xml><?xml version="1.0" encoding="utf-8"?>
<Properties xmlns="http://schemas.openxmlformats.org/officeDocument/2006/extended-properties" xmlns:vt="http://schemas.openxmlformats.org/officeDocument/2006/docPropsVTypes">
  <Template>Normal</Template>
  <Pages>42</Pages>
  <Words>19804</Words>
  <Characters>20653</Characters>
  <Lines>80</Lines>
  <Paragraphs>22</Paragraphs>
  <TotalTime>5</TotalTime>
  <ScaleCrop>false</ScaleCrop>
  <LinksUpToDate>false</LinksUpToDate>
  <CharactersWithSpaces>20862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2021-04-22T09:45:00Z</dcterms:created>
  <dc:creator>Administrator</dc:creator>
  <cp:lastModifiedBy>kunyi</cp:lastModifiedBy>
  <cp:lastPrinted>2022-03-02T07:27:00Z</cp:lastPrinted>
  <dcterms:modified xsi:type="dcterms:W3CDTF">2023-03-31T03:10:55Z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0C1864A0B4544509B2A796312F7C5B80</vt:lpwstr>
  </property>
</Properties>
</file>