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支持省级企业技术中心开展创新能力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建设项目申报指南</w:t>
      </w:r>
    </w:p>
    <w:p>
      <w:pPr>
        <w:pStyle w:val="5"/>
        <w:widowControl w:val="0"/>
        <w:shd w:val="clear" w:color="auto" w:fill="FFFFFF"/>
        <w:spacing w:line="560" w:lineRule="exact"/>
        <w:ind w:firstLine="320" w:firstLineChars="100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eastAsia="zh-CN"/>
        </w:rPr>
        <w:t>支持内容</w:t>
      </w:r>
    </w:p>
    <w:p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一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支持对象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已认定为省级企业技术中心（不含建筑业）的企业（含已获得过省级企业技术中心专题财政资金支持的企业）。</w:t>
      </w:r>
    </w:p>
    <w:p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  <w:lang w:eastAsia="zh-CN"/>
        </w:rPr>
        <w:t>支持方向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none"/>
        </w:rPr>
        <w:t>重点围绕</w:t>
      </w:r>
      <w:r>
        <w:rPr>
          <w:rFonts w:hint="eastAsia" w:eastAsia="仿宋_GB2312"/>
          <w:sz w:val="32"/>
          <w:szCs w:val="32"/>
          <w:u w:val="none"/>
        </w:rPr>
        <w:t>消费电子、高端装备、生物医药、新型储能、先进材料、食品工业等领域及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个战略性产业集群</w:t>
      </w:r>
      <w:r>
        <w:rPr>
          <w:rFonts w:eastAsia="仿宋_GB2312"/>
          <w:sz w:val="32"/>
          <w:szCs w:val="32"/>
        </w:rPr>
        <w:t>，对企业在提升自主创新能力和核心竞争力过程中，依托省级企业技术中心在试验、检验检测、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成果转化、产业应用</w:t>
      </w:r>
      <w:r>
        <w:rPr>
          <w:rFonts w:eastAsia="仿宋_GB2312"/>
          <w:sz w:val="32"/>
          <w:szCs w:val="32"/>
        </w:rPr>
        <w:t>等方面开展的项目给予支持。</w:t>
      </w:r>
      <w:r>
        <w:rPr>
          <w:rFonts w:eastAsia="仿宋_GB2312"/>
          <w:sz w:val="32"/>
          <w:szCs w:val="32"/>
          <w:u w:val="none"/>
        </w:rPr>
        <w:t>鼓励企业围绕技术创新的薄弱环节，</w:t>
      </w:r>
      <w:r>
        <w:rPr>
          <w:rFonts w:eastAsia="仿宋_GB2312"/>
          <w:sz w:val="32"/>
          <w:szCs w:val="32"/>
        </w:rPr>
        <w:t>加大创新研发投入，完善创新基础设施，实施创新能力建设项目。</w:t>
      </w:r>
    </w:p>
    <w:p>
      <w:pPr>
        <w:pStyle w:val="5"/>
        <w:widowControl w:val="0"/>
        <w:shd w:val="clear" w:color="auto" w:fill="FFFFFF"/>
        <w:spacing w:line="560" w:lineRule="exact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 xml:space="preserve">    二、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eastAsia="zh-CN"/>
        </w:rPr>
        <w:t>入库要求</w:t>
      </w:r>
    </w:p>
    <w:p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项目于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日以后开始实施，已完成并取得显著成效，通过地级以上市工业和信息化主管部门组织的完工评价。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项目实施地需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江门市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境内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（二）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珠三角地区</w:t>
      </w:r>
      <w:r>
        <w:rPr>
          <w:rFonts w:ascii="Times New Roman" w:hAnsi="Times New Roman" w:eastAsia="仿宋_GB2312"/>
          <w:kern w:val="2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</w:t>
      </w:r>
      <w:r>
        <w:rPr>
          <w:rFonts w:ascii="Times New Roman" w:hAnsi="Times New Roman" w:eastAsia="仿宋_GB2312"/>
          <w:kern w:val="2"/>
          <w:sz w:val="32"/>
          <w:szCs w:val="32"/>
        </w:rPr>
        <w:t>广州、珠海、佛山、惠州、东莞、中山、江门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kern w:val="2"/>
          <w:sz w:val="32"/>
          <w:szCs w:val="32"/>
        </w:rPr>
        <w:t>肇庆）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单个项目新购置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研发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仪器设备（含配套软件，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为实施项目的新增设备，不包括生产设备、办公设备等，下同）总额（不含税）不低于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万元；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粤东粤西粤北地区</w:t>
      </w:r>
      <w:r>
        <w:rPr>
          <w:rFonts w:ascii="Times New Roman" w:hAnsi="Times New Roman" w:eastAsia="仿宋_GB2312"/>
          <w:kern w:val="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包括</w:t>
      </w:r>
      <w:r>
        <w:rPr>
          <w:rFonts w:ascii="Times New Roman" w:hAnsi="Times New Roman" w:eastAsia="仿宋_GB2312"/>
          <w:kern w:val="2"/>
          <w:sz w:val="32"/>
          <w:szCs w:val="32"/>
        </w:rPr>
        <w:t>汕头、韶关、河源、梅州、汕尾、阳江、湛江、茂名、清远、潮州、揭阳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kern w:val="2"/>
          <w:sz w:val="32"/>
          <w:szCs w:val="32"/>
        </w:rPr>
        <w:t>云浮）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单个项目新购置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研发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仪器设备（含配套软件）总额（不含税）不低于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万元。</w:t>
      </w:r>
    </w:p>
    <w:p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lang w:val="en-US" w:eastAsia="zh-CN"/>
        </w:rPr>
        <w:t>（三）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项目具有自主知识产权的创新成果，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珠三角地区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申请相关发明专利不少于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件；</w:t>
      </w:r>
      <w:r>
        <w:rPr>
          <w:rFonts w:ascii="Times New Roman" w:hAnsi="Times New Roman" w:eastAsia="仿宋_GB2312"/>
          <w:b/>
          <w:bCs/>
          <w:sz w:val="32"/>
          <w:szCs w:val="32"/>
          <w:lang w:val="en-US" w:eastAsia="zh-CN"/>
        </w:rPr>
        <w:t>粤东粤西粤北地区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单个</w:t>
      </w: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申请相关发明专利不少于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件。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（四）</w:t>
      </w:r>
      <w:r>
        <w:rPr>
          <w:rFonts w:eastAsia="仿宋_GB2312"/>
          <w:color w:val="000000"/>
          <w:sz w:val="32"/>
          <w:szCs w:val="32"/>
        </w:rPr>
        <w:t>项目承担单位财务状况良好，项目资金投入合理，经济效益良好，近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eastAsia="仿宋_GB2312"/>
          <w:color w:val="000000"/>
          <w:sz w:val="32"/>
          <w:szCs w:val="32"/>
        </w:rPr>
        <w:t>年在专项审计、绩效评价、监督检查等方面未出现严重的违法违规情况。</w:t>
      </w:r>
    </w:p>
    <w:p>
      <w:pPr>
        <w:spacing w:line="56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（五）项目承担单位近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3年</w:t>
      </w:r>
      <w:r>
        <w:rPr>
          <w:rFonts w:eastAsia="仿宋_GB2312"/>
          <w:color w:val="000000"/>
          <w:kern w:val="0"/>
          <w:sz w:val="32"/>
          <w:szCs w:val="32"/>
        </w:rPr>
        <w:t>未发生重大安全、环保、质量事故，信用状况良好，无严重失信行为</w:t>
      </w:r>
      <w:r>
        <w:rPr>
          <w:rFonts w:hint="eastAsia" w:ascii="楷体_GB2312" w:eastAsia="楷体_GB2312" w:cs="CESI楷体-GB2312"/>
          <w:color w:val="000000"/>
          <w:kern w:val="0"/>
          <w:sz w:val="32"/>
          <w:szCs w:val="32"/>
          <w:u w:val="single"/>
        </w:rPr>
        <w:t>（省财政管理及审计方面如有最新要求的，将另行发布通知补充说明）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pStyle w:val="5"/>
        <w:widowControl w:val="0"/>
        <w:shd w:val="clear" w:color="auto" w:fill="FFFFFF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（六）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项目</w:t>
      </w:r>
      <w:r>
        <w:rPr>
          <w:rFonts w:ascii="Times New Roman" w:hAnsi="Times New Roman" w:eastAsia="仿宋_GB2312"/>
          <w:sz w:val="32"/>
          <w:szCs w:val="32"/>
          <w:lang w:eastAsia="zh-CN"/>
        </w:rPr>
        <w:t>及相关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研发</w:t>
      </w:r>
      <w:r>
        <w:rPr>
          <w:rFonts w:ascii="Times New Roman" w:hAnsi="Times New Roman" w:eastAsia="仿宋_GB2312"/>
          <w:sz w:val="32"/>
          <w:szCs w:val="32"/>
          <w:lang w:eastAsia="zh-CN"/>
        </w:rPr>
        <w:t>仪器设备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>（含配套软件）</w:t>
      </w:r>
      <w:r>
        <w:rPr>
          <w:rFonts w:ascii="Times New Roman" w:hAnsi="Times New Roman" w:eastAsia="仿宋_GB2312"/>
          <w:sz w:val="32"/>
          <w:szCs w:val="32"/>
          <w:lang w:eastAsia="zh-CN"/>
        </w:rPr>
        <w:t>未获得过省财政资金支持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5"/>
        <w:widowControl w:val="0"/>
        <w:shd w:val="clear" w:color="auto" w:fill="FFFFFF"/>
        <w:spacing w:line="560" w:lineRule="exact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 xml:space="preserve">    三、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  <w:lang w:eastAsia="zh-CN"/>
        </w:rPr>
        <w:t>奖励</w:t>
      </w: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方式及标准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（一）省财政资金采取事后奖补方式，</w:t>
      </w:r>
      <w:r>
        <w:rPr>
          <w:rFonts w:hint="eastAsia" w:eastAsia="仿宋_GB2312"/>
          <w:sz w:val="32"/>
          <w:szCs w:val="32"/>
        </w:rPr>
        <w:t>择优</w:t>
      </w:r>
      <w:r>
        <w:rPr>
          <w:rFonts w:eastAsia="仿宋_GB2312"/>
          <w:sz w:val="32"/>
          <w:szCs w:val="32"/>
        </w:rPr>
        <w:t>支持企业依托省级企业技术中心在试验、检验检测、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成果转化、产业应用</w:t>
      </w:r>
      <w:r>
        <w:rPr>
          <w:rFonts w:eastAsia="仿宋_GB2312"/>
          <w:sz w:val="32"/>
          <w:szCs w:val="32"/>
        </w:rPr>
        <w:t>等方面开展项目建设。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（二）省财政资金奖补比例不超过项目新购置</w:t>
      </w:r>
      <w:r>
        <w:rPr>
          <w:rFonts w:hint="eastAsia" w:eastAsia="仿宋_GB2312"/>
          <w:sz w:val="32"/>
          <w:szCs w:val="32"/>
        </w:rPr>
        <w:t>研发</w:t>
      </w:r>
      <w:r>
        <w:rPr>
          <w:rFonts w:eastAsia="仿宋_GB2312"/>
          <w:sz w:val="32"/>
          <w:szCs w:val="32"/>
        </w:rPr>
        <w:t>仪器设备（含配套软件）总额的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eastAsia="仿宋_GB2312"/>
          <w:sz w:val="32"/>
          <w:szCs w:val="32"/>
        </w:rPr>
        <w:t>%（不含税）。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b/>
          <w:bCs/>
          <w:sz w:val="32"/>
          <w:szCs w:val="32"/>
        </w:rPr>
        <w:t>珠三角地区</w:t>
      </w:r>
      <w:r>
        <w:rPr>
          <w:rFonts w:eastAsia="仿宋_GB2312"/>
          <w:sz w:val="32"/>
          <w:szCs w:val="32"/>
        </w:rPr>
        <w:t>单个项目获得资金原则上不少于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万元、不超过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万元；</w:t>
      </w:r>
      <w:r>
        <w:rPr>
          <w:rFonts w:eastAsia="仿宋_GB2312"/>
          <w:b/>
          <w:bCs/>
          <w:sz w:val="32"/>
          <w:szCs w:val="32"/>
        </w:rPr>
        <w:t>粤东粤西粤北地区</w:t>
      </w:r>
      <w:r>
        <w:rPr>
          <w:rFonts w:eastAsia="仿宋_GB2312"/>
          <w:sz w:val="32"/>
          <w:szCs w:val="32"/>
        </w:rPr>
        <w:t>单个项目获得资金原则上不少于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万元、不超过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万元。</w:t>
      </w:r>
    </w:p>
    <w:p>
      <w:pPr>
        <w:pStyle w:val="5"/>
        <w:widowControl w:val="0"/>
        <w:shd w:val="clear" w:color="auto" w:fill="FFFFFF"/>
        <w:spacing w:line="560" w:lineRule="exact"/>
        <w:jc w:val="both"/>
        <w:rPr>
          <w:rFonts w:ascii="Times New Roman" w:hAnsi="Times New Roman" w:eastAsia="华文仿宋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华文仿宋"/>
          <w:sz w:val="32"/>
          <w:szCs w:val="32"/>
          <w:shd w:val="clear" w:color="auto" w:fill="FFFFFF"/>
        </w:rPr>
        <w:t>　</w:t>
      </w:r>
      <w:r>
        <w:rPr>
          <w:rFonts w:ascii="Times New Roman" w:hAnsi="Times New Roman" w:eastAsia="华文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shd w:val="clear" w:color="auto" w:fill="FFFFFF"/>
          <w:lang w:eastAsia="zh-CN"/>
        </w:rPr>
        <w:t>四、有关要求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（一）各地报送的项目库数量，</w:t>
      </w:r>
      <w:r>
        <w:rPr>
          <w:rFonts w:eastAsia="仿宋_GB2312"/>
          <w:b/>
          <w:bCs/>
          <w:sz w:val="32"/>
          <w:szCs w:val="32"/>
          <w:lang w:val="zh-CN"/>
        </w:rPr>
        <w:t>珠三角地区</w:t>
      </w:r>
      <w:r>
        <w:rPr>
          <w:rFonts w:eastAsia="仿宋_GB2312"/>
          <w:sz w:val="32"/>
          <w:szCs w:val="32"/>
          <w:lang w:val="zh-CN"/>
        </w:rPr>
        <w:t>原则上不超过本地区已有省级企业技术中心数量的</w:t>
      </w:r>
      <w:r>
        <w:rPr>
          <w:rFonts w:hint="eastAsia" w:ascii="仿宋_GB2312" w:hAnsi="仿宋_GB2312" w:eastAsia="仿宋_GB2312" w:cs="仿宋_GB2312"/>
          <w:sz w:val="32"/>
          <w:szCs w:val="32"/>
        </w:rPr>
        <w:t>1/20</w:t>
      </w:r>
      <w:r>
        <w:rPr>
          <w:rFonts w:eastAsia="仿宋_GB2312"/>
          <w:sz w:val="32"/>
          <w:szCs w:val="32"/>
        </w:rPr>
        <w:t>（四舍五入取整</w:t>
      </w:r>
      <w:r>
        <w:rPr>
          <w:rFonts w:hint="eastAsia" w:eastAsia="仿宋_GB2312"/>
          <w:sz w:val="32"/>
          <w:szCs w:val="32"/>
        </w:rPr>
        <w:t>，统计时间截至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2023年6月15日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b/>
          <w:bCs/>
          <w:sz w:val="32"/>
          <w:szCs w:val="32"/>
        </w:rPr>
        <w:t>粤东粤西粤北地区</w:t>
      </w:r>
      <w:r>
        <w:rPr>
          <w:rFonts w:eastAsia="仿宋_GB2312"/>
          <w:sz w:val="32"/>
          <w:szCs w:val="32"/>
          <w:lang w:val="zh-CN"/>
        </w:rPr>
        <w:t>原则上</w:t>
      </w:r>
      <w:r>
        <w:rPr>
          <w:rFonts w:eastAsia="仿宋_GB2312"/>
          <w:sz w:val="32"/>
          <w:szCs w:val="32"/>
        </w:rPr>
        <w:t>不</w:t>
      </w:r>
      <w:r>
        <w:rPr>
          <w:rFonts w:eastAsia="仿宋_GB2312"/>
          <w:sz w:val="32"/>
          <w:szCs w:val="32"/>
          <w:lang w:val="zh-CN"/>
        </w:rPr>
        <w:t>超过本地区已有省级企业技术中心数量的</w:t>
      </w:r>
      <w:r>
        <w:rPr>
          <w:rFonts w:hint="eastAsia" w:ascii="仿宋_GB2312" w:hAnsi="仿宋_GB2312" w:eastAsia="仿宋_GB2312" w:cs="仿宋_GB2312"/>
          <w:sz w:val="32"/>
          <w:szCs w:val="32"/>
        </w:rPr>
        <w:t>1/8</w:t>
      </w:r>
      <w:r>
        <w:rPr>
          <w:rFonts w:eastAsia="仿宋_GB2312"/>
          <w:sz w:val="32"/>
          <w:szCs w:val="32"/>
        </w:rPr>
        <w:t>（四舍五入取整</w:t>
      </w:r>
      <w:r>
        <w:rPr>
          <w:rFonts w:hint="eastAsia" w:eastAsia="仿宋_GB2312"/>
          <w:sz w:val="32"/>
          <w:szCs w:val="32"/>
        </w:rPr>
        <w:t>，统计时间截至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）。取整后不足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个的，可报送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个项目。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（二）根据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省工信厅</w:t>
      </w:r>
      <w:r>
        <w:rPr>
          <w:rFonts w:ascii="Times New Roman" w:hAnsi="Times New Roman" w:eastAsia="仿宋_GB2312"/>
          <w:sz w:val="32"/>
          <w:szCs w:val="32"/>
        </w:rPr>
        <w:t>《关于公布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</w:t>
      </w:r>
      <w:r>
        <w:rPr>
          <w:rFonts w:ascii="Times New Roman" w:hAnsi="Times New Roman" w:eastAsia="仿宋_GB2312"/>
          <w:sz w:val="32"/>
          <w:szCs w:val="32"/>
        </w:rPr>
        <w:t>年度省级企业技术中心评价结果的通知》，各地可结合实际将评价结果运用到入库排序中，同等条件下可优先支持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</w:t>
      </w:r>
      <w:r>
        <w:rPr>
          <w:rFonts w:ascii="Times New Roman" w:hAnsi="Times New Roman" w:eastAsia="仿宋_GB2312"/>
          <w:sz w:val="32"/>
          <w:szCs w:val="32"/>
        </w:rPr>
        <w:t>年度评价结果为</w:t>
      </w:r>
      <w:r>
        <w:rPr>
          <w:rFonts w:hint="eastAsia" w:ascii="Times New Roman" w:hAnsi="Times New Roman" w:eastAsia="仿宋_GB2312"/>
          <w:sz w:val="32"/>
          <w:szCs w:val="32"/>
        </w:rPr>
        <w:t>良好及以上</w:t>
      </w:r>
      <w:r>
        <w:rPr>
          <w:rFonts w:ascii="Times New Roman" w:hAnsi="Times New Roman" w:eastAsia="仿宋_GB2312"/>
          <w:sz w:val="32"/>
          <w:szCs w:val="32"/>
        </w:rPr>
        <w:t>的省级企业技术中心所在企业以及国家技术创新示范企业、国家专精特新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小巨人</w:t>
      </w:r>
      <w:r>
        <w:rPr>
          <w:rFonts w:hint="eastAsia" w:ascii="Times New Roman" w:hAnsi="Times New Roman" w:eastAsia="仿宋_GB2312"/>
          <w:sz w:val="32"/>
          <w:szCs w:val="32"/>
        </w:rPr>
        <w:t>”企业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国家制造业</w:t>
      </w:r>
      <w:r>
        <w:rPr>
          <w:rFonts w:ascii="Times New Roman" w:hAnsi="Times New Roman" w:eastAsia="仿宋_GB2312"/>
          <w:sz w:val="32"/>
          <w:szCs w:val="32"/>
        </w:rPr>
        <w:t>单项冠军企业</w:t>
      </w:r>
      <w:r>
        <w:rPr>
          <w:rFonts w:hint="eastAsia" w:ascii="Times New Roman" w:hAnsi="Times New Roman" w:eastAsia="仿宋_GB2312"/>
          <w:sz w:val="32"/>
          <w:szCs w:val="32"/>
        </w:rPr>
        <w:t>、国家产业技术基础公共服务平台企业、省级专精特新中小企业、省级及以上制造业创新中心牵头企业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AoAAAAAAIdO4kAAAAAAAAAAAAAAAAAGAAAAAAAA&#10;AAAAEAAAAD0EAABfcmVscy9QSwECFAAKAAAAAACHTuJAAAAAAAAAAAAAAAAABAAAAAAAAAAAABAA&#10;AAAWAAAAZHJzL1BLAQIUABQAAAAIAIdO4kBItvYn3AIAACQGAAAOAAAAAAAAAAEAIAAAADUBAABk&#10;cnMvZTJvRG9jLnhtbFBLAQIUABQAAAAIAIdO4kCzSVju0AAAAAUBAAAPAAAAAAAAAAEAIAAAADgA&#10;AABkcnMvZG93bnJldi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C592D"/>
    <w:rsid w:val="4B9C592D"/>
    <w:rsid w:val="5EEB530C"/>
    <w:rsid w:val="6F5E107D"/>
    <w:rsid w:val="6FFF32A8"/>
    <w:rsid w:val="ACF9F4B4"/>
    <w:rsid w:val="BDFF1A6C"/>
    <w:rsid w:val="E5FFF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0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2023-04-13T13:07:00Z</dcterms:created>
  <dc:creator>Administrator</dc:creator>
  <cp:lastModifiedBy>greatwall</cp:lastModifiedBy>
  <dcterms:modified xsi:type="dcterms:W3CDTF">2023-04-26T12:58:27Z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CE8DA90800BA1FFE73AF4864AFD40A35</vt:lpwstr>
  </property>
</Properties>
</file>