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3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鹤山市2022年度第三十六批次城镇建设用地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6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6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6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6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/>
                <w:lang w:eastAsia="zh-CN"/>
              </w:rPr>
              <w:t>4.1548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6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E216F"/>
    <w:rsid w:val="00110AA0"/>
    <w:rsid w:val="00234905"/>
    <w:rsid w:val="00731B1A"/>
    <w:rsid w:val="00784FA6"/>
    <w:rsid w:val="0093691F"/>
    <w:rsid w:val="00B115D7"/>
    <w:rsid w:val="00B82FCC"/>
    <w:rsid w:val="00C40A5D"/>
    <w:rsid w:val="00CF097A"/>
    <w:rsid w:val="00EF3E7E"/>
    <w:rsid w:val="02BD7A60"/>
    <w:rsid w:val="03304250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3300E75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批注框文本 字符"/>
    <w:basedOn w:val="5"/>
    <w:link w:val="2"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537</Words>
  <Characters>583</Characters>
  <Lines>6</Lines>
  <Paragraphs>1</Paragraphs>
  <TotalTime>2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</cp:lastModifiedBy>
  <cp:lastPrinted>2022-11-15T12:03:00Z</cp:lastPrinted>
  <dcterms:modified xsi:type="dcterms:W3CDTF">2023-02-27T13:52:32Z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839963E86D2C45BCA67AC1BE9FE8AF0F</vt:lpwstr>
  </property>
</Properties>
</file>