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2023年鹤山市</w:t>
      </w:r>
      <w:r>
        <w:rPr>
          <w:rFonts w:hint="eastAsia"/>
          <w:sz w:val="44"/>
          <w:szCs w:val="44"/>
          <w:lang w:val="en-US" w:eastAsia="zh-CN"/>
        </w:rPr>
        <w:t>桃源镇</w:t>
      </w:r>
      <w:r>
        <w:rPr>
          <w:sz w:val="44"/>
          <w:szCs w:val="44"/>
        </w:rPr>
        <w:t>领导干部应知应会法律法规清单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填报单位：</w:t>
      </w:r>
      <w:r>
        <w:rPr>
          <w:rFonts w:hint="eastAsia"/>
          <w:sz w:val="32"/>
          <w:szCs w:val="32"/>
          <w:lang w:val="en-US" w:eastAsia="zh-CN"/>
        </w:rPr>
        <w:t>桃源镇人民政府</w:t>
      </w:r>
      <w:r>
        <w:rPr>
          <w:rFonts w:hint="eastAsia"/>
          <w:sz w:val="32"/>
          <w:szCs w:val="32"/>
        </w:rPr>
        <w:t xml:space="preserve">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380"/>
        <w:gridCol w:w="4836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应知应会法律法规</w:t>
            </w:r>
          </w:p>
        </w:tc>
        <w:tc>
          <w:tcPr>
            <w:tcW w:w="483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学法方式和具体措施</w:t>
            </w:r>
          </w:p>
        </w:tc>
        <w:tc>
          <w:tcPr>
            <w:tcW w:w="227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</w:rPr>
              <w:t>《论坚持全面依法治国》《习近平关于全面依法治国论述摘编》</w:t>
            </w:r>
          </w:p>
        </w:tc>
        <w:tc>
          <w:tcPr>
            <w:tcW w:w="4836" w:type="dxa"/>
            <w:vMerge w:val="restart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集中学习和自学结合。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把学习宣传习近平法治思想作为领导干部学法用法的首要任务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作为党委中心组学习重点内容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279" w:type="dxa"/>
            <w:vMerge w:val="restart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2023年1月至4月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</w:rPr>
              <w:t>《习近平谈治国理政》</w:t>
            </w:r>
          </w:p>
        </w:tc>
        <w:tc>
          <w:tcPr>
            <w:tcW w:w="4836" w:type="dxa"/>
            <w:vMerge w:val="continue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79" w:type="dxa"/>
            <w:vMerge w:val="continue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</w:rPr>
              <w:t>《习近平法治思想学习纲要》</w:t>
            </w:r>
          </w:p>
        </w:tc>
        <w:tc>
          <w:tcPr>
            <w:tcW w:w="4836" w:type="dxa"/>
            <w:vMerge w:val="continue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279" w:type="dxa"/>
            <w:vMerge w:val="continue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《宪法》</w:t>
            </w:r>
          </w:p>
        </w:tc>
        <w:tc>
          <w:tcPr>
            <w:tcW w:w="4836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自学为主。</w:t>
            </w:r>
          </w:p>
        </w:tc>
        <w:tc>
          <w:tcPr>
            <w:tcW w:w="2279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《民法典》</w:t>
            </w:r>
          </w:p>
        </w:tc>
        <w:tc>
          <w:tcPr>
            <w:tcW w:w="4836" w:type="dxa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请律师上专题课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《行政许可法》《行政处罚法》《行政强制法》《行政诉讼法》《行政复议法》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根据上级安排上课，</w:t>
            </w: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</w:rPr>
              <w:t>线上学法和线下学法相结合</w:t>
            </w: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《重大行政决策程序暂行条例》</w:t>
            </w:r>
          </w:p>
        </w:tc>
        <w:tc>
          <w:tcPr>
            <w:tcW w:w="4836" w:type="dxa"/>
            <w:vAlign w:val="top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《中华人民共和国监察法》</w:t>
            </w:r>
          </w:p>
        </w:tc>
        <w:tc>
          <w:tcPr>
            <w:tcW w:w="4836" w:type="dxa"/>
            <w:vAlign w:val="top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《中华人民共和国国家安全法》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</w:rPr>
              <w:t>线上学法和线下学法相结合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《中国共产党组织工作条例》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《广东省优化营商环境条例》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《信访工作条例》《人民调解法》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集中学习和自学结合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《环境保护法》、《城乡规划法》、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70" w:lineRule="atLeast"/>
              <w:ind w:left="0" w:right="0" w:firstLine="0"/>
              <w:rPr>
                <w:rFonts w:hint="eastAsia" w:ascii="华文仿宋" w:hAnsi="华文仿宋" w:eastAsia="华文仿宋" w:cs="Arial"/>
                <w:b w:val="0"/>
                <w:bCs w:val="0"/>
                <w:color w:val="22222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b w:val="0"/>
                <w:bCs w:val="0"/>
                <w:color w:val="222222"/>
                <w:kern w:val="2"/>
                <w:sz w:val="30"/>
                <w:szCs w:val="30"/>
                <w:lang w:val="en-US" w:eastAsia="zh-CN" w:bidi="ar-SA"/>
              </w:rPr>
              <w:t>《</w:t>
            </w:r>
            <w:r>
              <w:rPr>
                <w:rFonts w:hint="default" w:ascii="华文仿宋" w:hAnsi="华文仿宋" w:eastAsia="华文仿宋" w:cs="Arial"/>
                <w:b w:val="0"/>
                <w:bCs w:val="0"/>
                <w:color w:val="222222"/>
                <w:kern w:val="2"/>
                <w:sz w:val="30"/>
                <w:szCs w:val="30"/>
                <w:lang w:val="en-US" w:eastAsia="zh-CN" w:bidi="ar-SA"/>
              </w:rPr>
              <w:t>乡村振兴促进法</w:t>
            </w:r>
            <w:r>
              <w:rPr>
                <w:rFonts w:hint="eastAsia" w:ascii="华文仿宋" w:hAnsi="华文仿宋" w:eastAsia="华文仿宋" w:cs="Arial"/>
                <w:b w:val="0"/>
                <w:bCs w:val="0"/>
                <w:color w:val="222222"/>
                <w:kern w:val="2"/>
                <w:sz w:val="30"/>
                <w:szCs w:val="30"/>
                <w:lang w:val="en-US" w:eastAsia="zh-CN" w:bidi="ar-SA"/>
              </w:rPr>
              <w:t>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《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知识产权法</w:t>
            </w:r>
            <w:r>
              <w:rPr>
                <w:rFonts w:hint="eastAsia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《刑法》《刑事诉讼法》《治安管理处罚法》《反有组织犯罪法》《社区矫正法》《法律援助法》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0" w:type="auto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30"/>
                <w:szCs w:val="30"/>
                <w:lang w:val="en-US" w:eastAsia="zh-CN"/>
              </w:rPr>
              <w:t>《江门市文明促进条例》</w:t>
            </w:r>
          </w:p>
        </w:tc>
        <w:tc>
          <w:tcPr>
            <w:tcW w:w="4836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color w:val="222222"/>
                <w:sz w:val="28"/>
                <w:szCs w:val="28"/>
                <w:lang w:val="en-US" w:eastAsia="zh-CN"/>
              </w:rPr>
              <w:t>自学</w:t>
            </w:r>
          </w:p>
        </w:tc>
        <w:tc>
          <w:tcPr>
            <w:tcW w:w="227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2023年12月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领导干部应知应会法律法规包括：宪法、民法典、党内法规、与推动高质量发展密切相关的法律法规、与社会治理现代化密切相关的法律法规、与本单位领导干部履职相关的法规法律法规等。以上内容由各单位结合职能自行梳理填报。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.领导干部学法要坚持集中学法和自主学法、线上学法和线下学法、考试学法与日常学法、法治教育与法治实践相结合。学法方式包括：各单位可结合党委（组）中心组学法、政府常务会议学法、行政执法资格考试、国家工作人员旁听庭审活动、国家工作人员年度学法考试、行政机关负责人出庭应诉、领导干部任前学法考试、法治讲座和法治报告会、宪法集体宣誓等形式开展领导干部应知应会法律法规学习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TM3ZTBjNjFkNmI2YjNmYzY5NTViYTg2Yjk2ODEifQ=="/>
  </w:docVars>
  <w:rsids>
    <w:rsidRoot w:val="6FE0370E"/>
    <w:rsid w:val="00160CB0"/>
    <w:rsid w:val="008A2A27"/>
    <w:rsid w:val="00AB5F7F"/>
    <w:rsid w:val="0AA81F93"/>
    <w:rsid w:val="14351149"/>
    <w:rsid w:val="1DBB4F6F"/>
    <w:rsid w:val="26DF090F"/>
    <w:rsid w:val="360A456C"/>
    <w:rsid w:val="38166B27"/>
    <w:rsid w:val="59480702"/>
    <w:rsid w:val="6FE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江门市司法局</Company>
  <Pages>1</Pages>
  <Words>352</Words>
  <Characters>357</Characters>
  <Lines>3</Lines>
  <Paragraphs>1</Paragraphs>
  <TotalTime>0</TotalTime>
  <ScaleCrop>false</ScaleCrop>
  <LinksUpToDate>false</LinksUpToDate>
  <CharactersWithSpaces>411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2022-02-11T01:52:00Z</dcterms:created>
  <dc:creator>马明明</dc:creator>
  <cp:lastModifiedBy>拥趸</cp:lastModifiedBy>
  <dcterms:modified xsi:type="dcterms:W3CDTF">2024-04-19T07:36:49Z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47D34F64AE214BD2B0A06F588A26FEE6_13</vt:lpwstr>
  </property>
</Properties>
</file>