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40" w:firstLineChars="200"/>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鹤山市食品用非复合膜袋质量安全监督抽查实施细则（2024年版）</w:t>
      </w:r>
    </w:p>
    <w:p>
      <w:pPr>
        <w:widowControl/>
        <w:spacing w:line="360" w:lineRule="auto"/>
        <w:ind w:firstLine="420" w:firstLineChars="200"/>
        <w:jc w:val="left"/>
        <w:rPr>
          <w:rFonts w:ascii="宋体" w:hAnsi="宋体"/>
          <w:szCs w:val="21"/>
        </w:rPr>
      </w:pPr>
      <w:r>
        <w:rPr>
          <w:rFonts w:hint="eastAsia" w:ascii="宋体" w:hAnsi="宋体"/>
          <w:szCs w:val="21"/>
        </w:rPr>
        <w:t>本细则适用于鹤山市生产环节中食品用非复合膜袋的市级监督抽查。</w:t>
      </w:r>
    </w:p>
    <w:p>
      <w:pPr>
        <w:snapToGrid w:val="0"/>
        <w:spacing w:line="360" w:lineRule="auto"/>
        <w:rPr>
          <w:b/>
          <w:sz w:val="24"/>
        </w:rPr>
      </w:pPr>
      <w:r>
        <w:rPr>
          <w:rFonts w:hint="eastAsia"/>
          <w:b/>
          <w:sz w:val="24"/>
        </w:rPr>
        <w:t>1、抽样方法</w:t>
      </w:r>
    </w:p>
    <w:p>
      <w:pPr>
        <w:snapToGrid w:val="0"/>
        <w:spacing w:line="440" w:lineRule="exact"/>
        <w:ind w:firstLine="420" w:firstLineChars="200"/>
        <w:rPr>
          <w:szCs w:val="21"/>
        </w:rPr>
      </w:pPr>
      <w:r>
        <w:rPr>
          <w:rFonts w:hint="eastAsia"/>
          <w:szCs w:val="21"/>
        </w:rPr>
        <w:t>以随机抽样的方式在被抽样经营者的待销售（或待使用）产品中抽取。</w:t>
      </w:r>
    </w:p>
    <w:p>
      <w:pPr>
        <w:snapToGrid w:val="0"/>
        <w:spacing w:line="440" w:lineRule="exact"/>
        <w:ind w:firstLine="420" w:firstLineChars="200"/>
        <w:rPr>
          <w:szCs w:val="21"/>
        </w:rPr>
      </w:pPr>
      <w:r>
        <w:rPr>
          <w:rFonts w:hint="eastAsia"/>
          <w:szCs w:val="21"/>
        </w:rPr>
        <w:t>机数一般可使用随机数表等方法产生。</w:t>
      </w:r>
    </w:p>
    <w:p>
      <w:pPr>
        <w:snapToGrid w:val="0"/>
        <w:spacing w:line="440" w:lineRule="exact"/>
        <w:ind w:firstLine="420" w:firstLineChars="200"/>
        <w:rPr>
          <w:szCs w:val="21"/>
        </w:rPr>
      </w:pPr>
      <w:r>
        <w:rPr>
          <w:rFonts w:hint="eastAsia"/>
          <w:szCs w:val="21"/>
        </w:rPr>
        <w:t>膜类产品：每批次产品抽取3卷，将每卷膜外层除去2m，每卷膜各抽取2.5</w:t>
      </w:r>
      <w:r>
        <w:rPr>
          <w:rFonts w:ascii="宋体" w:hAnsi="宋体"/>
        </w:rPr>
        <w:t>m</w:t>
      </w:r>
      <w:r>
        <w:rPr>
          <w:rFonts w:ascii="宋体" w:hAnsi="宋体"/>
          <w:vertAlign w:val="superscript"/>
        </w:rPr>
        <w:t>2</w:t>
      </w:r>
      <w:r>
        <w:rPr>
          <w:rFonts w:hint="eastAsia"/>
          <w:szCs w:val="21"/>
        </w:rPr>
        <w:t>，其中2份作为检验样品，1份作为备用样品；袋类产品：每批次产品抽取3箱，每箱中各抽取20个，其中40个作为检验样品，20个作为备用样品；保鲜膜类产品：每批次产品抽取3卷，其中2卷作为检验样品，1卷作为备用样品。</w:t>
      </w:r>
    </w:p>
    <w:p>
      <w:pPr>
        <w:snapToGrid w:val="0"/>
        <w:spacing w:line="360" w:lineRule="auto"/>
        <w:rPr>
          <w:rFonts w:hint="eastAsia"/>
          <w:b/>
          <w:sz w:val="24"/>
        </w:rPr>
      </w:pPr>
      <w:r>
        <w:rPr>
          <w:rFonts w:hint="eastAsia"/>
          <w:b/>
          <w:sz w:val="24"/>
        </w:rPr>
        <w:t>2、检验依据</w:t>
      </w:r>
    </w:p>
    <w:p>
      <w:pPr>
        <w:snapToGrid w:val="0"/>
        <w:spacing w:line="360" w:lineRule="auto"/>
        <w:jc w:val="center"/>
        <w:rPr>
          <w:b/>
          <w:sz w:val="24"/>
        </w:rPr>
      </w:pPr>
      <w:r>
        <w:rPr>
          <w:rFonts w:hint="eastAsia"/>
          <w:szCs w:val="21"/>
        </w:rPr>
        <w:t>表1  食品</w:t>
      </w:r>
      <w:bookmarkStart w:id="1" w:name="_GoBack"/>
      <w:bookmarkEnd w:id="1"/>
      <w:r>
        <w:rPr>
          <w:rFonts w:hint="eastAsia"/>
          <w:szCs w:val="21"/>
        </w:rPr>
        <w:t>用非复合膜袋检验项目</w:t>
      </w:r>
    </w:p>
    <w:tbl>
      <w:tblPr>
        <w:tblStyle w:val="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05"/>
        <w:gridCol w:w="1919"/>
        <w:gridCol w:w="193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序号</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检验项目</w:t>
            </w:r>
          </w:p>
        </w:tc>
        <w:tc>
          <w:tcPr>
            <w:tcW w:w="1919"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检验依据</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检验方法</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1</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感官要求</w:t>
            </w:r>
          </w:p>
        </w:tc>
        <w:tc>
          <w:tcPr>
            <w:tcW w:w="1919" w:type="dxa"/>
            <w:tcBorders>
              <w:top w:val="single" w:color="auto" w:sz="4" w:space="0"/>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outlineLvl w:val="0"/>
              <w:rPr>
                <w:rFonts w:cs="宋体"/>
                <w:szCs w:val="21"/>
              </w:rP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GB 4806.7-2016</w:t>
            </w:r>
          </w:p>
          <w:p>
            <w:pPr>
              <w:jc w:val="center"/>
            </w:pPr>
            <w:r>
              <w:rPr>
                <w:rFonts w:hint="eastAsia" w:cs="宋体"/>
                <w:szCs w:val="21"/>
              </w:rPr>
              <w:t>GB 4806.7-2023</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2</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高锰酸钾消耗量</w:t>
            </w:r>
          </w:p>
        </w:tc>
        <w:tc>
          <w:tcPr>
            <w:tcW w:w="1919" w:type="dxa"/>
            <w:tcBorders>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GB 31604.2-2016</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3</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总迁移量</w:t>
            </w:r>
          </w:p>
        </w:tc>
        <w:tc>
          <w:tcPr>
            <w:tcW w:w="1919" w:type="dxa"/>
            <w:tcBorders>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GB 31604.8-2021</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4</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重金属（以Pb计）</w:t>
            </w:r>
          </w:p>
        </w:tc>
        <w:tc>
          <w:tcPr>
            <w:tcW w:w="1919" w:type="dxa"/>
            <w:tcBorders>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GB 31604.9-2016</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5</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脱色试验</w:t>
            </w:r>
          </w:p>
        </w:tc>
        <w:tc>
          <w:tcPr>
            <w:tcW w:w="1919" w:type="dxa"/>
            <w:tcBorders>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GB 31604.7-2023</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仅适用添加了着色剂的产品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6</w:t>
            </w:r>
          </w:p>
        </w:tc>
        <w:tc>
          <w:tcPr>
            <w:tcW w:w="28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cs="宋体"/>
                <w:szCs w:val="21"/>
              </w:rPr>
            </w:pPr>
            <w:r>
              <w:rPr>
                <w:rFonts w:hint="eastAsia"/>
                <w:szCs w:val="21"/>
              </w:rPr>
              <w:t>双酚A特定迁移量</w:t>
            </w:r>
          </w:p>
        </w:tc>
        <w:tc>
          <w:tcPr>
            <w:tcW w:w="1919" w:type="dxa"/>
            <w:tcBorders>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GB 31604.10-2016</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ascii="宋体" w:hAnsi="宋体"/>
                <w:color w:val="000000" w:themeColor="text1"/>
                <w:szCs w:val="21"/>
              </w:rPr>
              <w:t>限PC材质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7</w:t>
            </w:r>
          </w:p>
        </w:tc>
        <w:tc>
          <w:tcPr>
            <w:tcW w:w="28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szCs w:val="21"/>
              </w:rPr>
            </w:pPr>
            <w:r>
              <w:rPr>
                <w:rFonts w:hint="eastAsia"/>
                <w:szCs w:val="21"/>
              </w:rPr>
              <w:t>锑特定迁移量</w:t>
            </w:r>
          </w:p>
        </w:tc>
        <w:tc>
          <w:tcPr>
            <w:tcW w:w="1919" w:type="dxa"/>
            <w:tcBorders>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GB 31604.41-2016</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ascii="宋体" w:hAnsi="宋体"/>
                <w:color w:val="000000" w:themeColor="text1"/>
                <w:szCs w:val="21"/>
              </w:rPr>
              <w:t>限PET材质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8</w:t>
            </w:r>
          </w:p>
        </w:tc>
        <w:tc>
          <w:tcPr>
            <w:tcW w:w="28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szCs w:val="21"/>
              </w:rPr>
            </w:pPr>
            <w:r>
              <w:rPr>
                <w:rFonts w:hint="eastAsia"/>
                <w:szCs w:val="21"/>
              </w:rPr>
              <w:t>游离酚特定迁移量</w:t>
            </w:r>
          </w:p>
        </w:tc>
        <w:tc>
          <w:tcPr>
            <w:tcW w:w="1919" w:type="dxa"/>
            <w:tcBorders>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GB 31604.46-2023</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ascii="宋体" w:hAnsi="宋体"/>
                <w:color w:val="000000" w:themeColor="text1"/>
                <w:szCs w:val="21"/>
              </w:rPr>
              <w:t>限PC材质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9</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szCs w:val="21"/>
              </w:rPr>
              <w:t>己内酰胺特定迁移量</w:t>
            </w:r>
          </w:p>
        </w:tc>
        <w:tc>
          <w:tcPr>
            <w:tcW w:w="1919" w:type="dxa"/>
            <w:tcBorders>
              <w:left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GB 31604.19-2016</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ascii="宋体" w:hAnsi="宋体"/>
                <w:color w:val="000000" w:themeColor="text1"/>
                <w:szCs w:val="21"/>
              </w:rPr>
              <w:t>限PA材质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10</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szCs w:val="21"/>
              </w:rPr>
              <w:t>氯乙烯单体特定迁移量</w:t>
            </w:r>
          </w:p>
        </w:tc>
        <w:tc>
          <w:tcPr>
            <w:tcW w:w="1919" w:type="dxa"/>
            <w:tcBorders>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jc w:val="center"/>
            </w:pPr>
            <w:r>
              <w:rPr>
                <w:rFonts w:hint="eastAsia" w:cs="宋体"/>
                <w:szCs w:val="21"/>
              </w:rPr>
              <w:t>GB 4806.7-2023</w:t>
            </w:r>
          </w:p>
        </w:tc>
        <w:tc>
          <w:tcPr>
            <w:tcW w:w="19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GB 31604.31-2016</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ascii="宋体" w:hAnsi="宋体"/>
                <w:color w:val="000000" w:themeColor="text1"/>
                <w:szCs w:val="21"/>
              </w:rPr>
              <w:t>限PVC材质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11</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szCs w:val="21"/>
              </w:rPr>
              <w:t>水蒸气透过量/阻隔性能（水蒸气）</w:t>
            </w:r>
          </w:p>
        </w:tc>
        <w:tc>
          <w:tcPr>
            <w:tcW w:w="1919" w:type="dxa"/>
            <w:tcBorders>
              <w:left w:val="single" w:color="auto" w:sz="4" w:space="0"/>
              <w:right w:val="single" w:color="auto" w:sz="4" w:space="0"/>
            </w:tcBorders>
            <w:vAlign w:val="center"/>
          </w:tcPr>
          <w:p>
            <w:pPr>
              <w:jc w:val="center"/>
              <w:rPr>
                <w:rFonts w:cs="宋体"/>
                <w:szCs w:val="21"/>
              </w:rPr>
            </w:pPr>
            <w:r>
              <w:rPr>
                <w:rFonts w:hint="eastAsia" w:cs="宋体"/>
                <w:szCs w:val="21"/>
              </w:rPr>
              <w:t>产品明示执行标准</w:t>
            </w:r>
          </w:p>
        </w:tc>
        <w:tc>
          <w:tcPr>
            <w:tcW w:w="1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szCs w:val="21"/>
              </w:rPr>
            </w:pPr>
            <w:r>
              <w:rPr>
                <w:rFonts w:cs="仿宋_GB2312"/>
                <w:szCs w:val="21"/>
              </w:rPr>
              <w:t>GB/T 1037-1988</w:t>
            </w:r>
          </w:p>
          <w:p>
            <w:pPr>
              <w:adjustRightInd w:val="0"/>
              <w:snapToGrid w:val="0"/>
              <w:jc w:val="center"/>
              <w:rPr>
                <w:rFonts w:cs="仿宋_GB2312"/>
                <w:szCs w:val="21"/>
              </w:rPr>
            </w:pPr>
            <w:r>
              <w:rPr>
                <w:rFonts w:cs="仿宋_GB2312"/>
                <w:szCs w:val="21"/>
              </w:rPr>
              <w:t>GB/T 1037-</w:t>
            </w:r>
            <w:r>
              <w:rPr>
                <w:rFonts w:hint="eastAsia" w:cs="仿宋_GB2312"/>
                <w:szCs w:val="21"/>
              </w:rPr>
              <w:t>2021</w:t>
            </w:r>
          </w:p>
          <w:p>
            <w:pPr>
              <w:jc w:val="center"/>
              <w:outlineLvl w:val="0"/>
              <w:rPr>
                <w:rFonts w:cs="宋体"/>
                <w:szCs w:val="21"/>
              </w:rPr>
            </w:pPr>
            <w:r>
              <w:rPr>
                <w:rFonts w:hint="eastAsia" w:cs="仿宋_GB2312"/>
                <w:szCs w:val="21"/>
              </w:rPr>
              <w:t>GB/T 26253-2010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jc w:val="left"/>
              <w:outlineLvl w:val="0"/>
              <w:rPr>
                <w:rFonts w:hint="eastAsia" w:cs="宋体"/>
                <w:szCs w:val="21"/>
              </w:rPr>
            </w:pPr>
            <w:r>
              <w:rPr>
                <w:color w:val="000000"/>
              </w:rPr>
              <w:t>注：1、</w:t>
            </w:r>
            <w:r>
              <w:rPr>
                <w:rFonts w:hint="eastAsia"/>
                <w:color w:val="000000"/>
              </w:rPr>
              <w:t>高锰酸钾消耗量不适用生产日期在2</w:t>
            </w:r>
            <w:r>
              <w:rPr>
                <w:color w:val="000000"/>
              </w:rPr>
              <w:t>024</w:t>
            </w:r>
            <w:r>
              <w:rPr>
                <w:rFonts w:hint="eastAsia"/>
                <w:color w:val="000000"/>
              </w:rPr>
              <w:t>年9月6日之后的、且淀粉含量≥40%的淀粉基塑料材料及制品。2、脱色试验仅适用于添加了着色剂的产品。</w:t>
            </w:r>
          </w:p>
        </w:tc>
      </w:tr>
    </w:tbl>
    <w:p>
      <w:pPr>
        <w:adjustRightInd w:val="0"/>
        <w:snapToGrid w:val="0"/>
        <w:spacing w:line="360" w:lineRule="auto"/>
        <w:ind w:firstLine="420" w:firstLineChars="200"/>
        <w:rPr>
          <w:szCs w:val="21"/>
        </w:rPr>
      </w:pPr>
      <w:r>
        <w:rPr>
          <w:rFonts w:hint="eastAsia"/>
          <w:szCs w:val="21"/>
        </w:rPr>
        <w:t>执行企业标准、团体标准、地方标准的产品，检验项目参照上述内容执行。</w:t>
      </w:r>
    </w:p>
    <w:p>
      <w:pPr>
        <w:snapToGrid w:val="0"/>
        <w:spacing w:line="360" w:lineRule="auto"/>
        <w:ind w:firstLine="359" w:firstLineChars="171"/>
        <w:rPr>
          <w:szCs w:val="21"/>
        </w:rPr>
      </w:pPr>
      <w:r>
        <w:rPr>
          <w:rFonts w:hint="eastAsia"/>
          <w:szCs w:val="21"/>
        </w:rPr>
        <w:t>凡是注日期的文件，其随后所有的修改单（不包括勘误的内容）或修订版不适用于本细则。凡是不注日期的文件，其最新版本适用于本细则。</w:t>
      </w:r>
    </w:p>
    <w:p>
      <w:pPr>
        <w:snapToGrid w:val="0"/>
        <w:spacing w:line="360" w:lineRule="auto"/>
        <w:rPr>
          <w:b/>
          <w:sz w:val="24"/>
        </w:rPr>
      </w:pPr>
      <w:r>
        <w:rPr>
          <w:rFonts w:hint="eastAsia"/>
          <w:b/>
          <w:sz w:val="24"/>
        </w:rPr>
        <w:t>3、判定规则</w:t>
      </w:r>
    </w:p>
    <w:p>
      <w:pPr>
        <w:widowControl/>
        <w:spacing w:line="360" w:lineRule="auto"/>
        <w:jc w:val="left"/>
        <w:rPr>
          <w:rFonts w:ascii="仿宋_GB2312" w:hAnsi="仿宋_GB2312" w:eastAsia="仿宋_GB2312" w:cs="仿宋_GB2312"/>
          <w:kern w:val="0"/>
          <w:sz w:val="28"/>
          <w:szCs w:val="28"/>
        </w:rPr>
      </w:pPr>
      <w:r>
        <w:rPr>
          <w:rFonts w:hint="eastAsia" w:ascii="宋体" w:hAnsi="宋体"/>
          <w:szCs w:val="21"/>
        </w:rPr>
        <w:t>3.1 依据标准</w:t>
      </w:r>
    </w:p>
    <w:p>
      <w:pPr>
        <w:widowControl/>
        <w:spacing w:line="360" w:lineRule="auto"/>
        <w:ind w:firstLine="420" w:firstLineChars="200"/>
        <w:jc w:val="left"/>
        <w:rPr>
          <w:rFonts w:ascii="宋体" w:hAnsi="宋体"/>
          <w:szCs w:val="21"/>
        </w:rPr>
      </w:pPr>
      <w:r>
        <w:rPr>
          <w:rFonts w:ascii="宋体" w:hAnsi="宋体"/>
          <w:szCs w:val="21"/>
        </w:rPr>
        <w:t xml:space="preserve">GB 4806.1-2016 </w:t>
      </w:r>
      <w:r>
        <w:rPr>
          <w:rFonts w:hint="eastAsia" w:ascii="宋体" w:hAnsi="宋体"/>
          <w:szCs w:val="21"/>
        </w:rPr>
        <w:t>食品安全国家标准食品接触材料及制品通用安全要求</w:t>
      </w:r>
    </w:p>
    <w:p>
      <w:pPr>
        <w:widowControl/>
        <w:spacing w:line="360" w:lineRule="auto"/>
        <w:ind w:firstLine="420" w:firstLineChars="200"/>
        <w:jc w:val="left"/>
        <w:rPr>
          <w:rFonts w:ascii="宋体" w:hAnsi="宋体"/>
          <w:szCs w:val="21"/>
        </w:rPr>
      </w:pPr>
      <w:r>
        <w:rPr>
          <w:rFonts w:ascii="宋体" w:hAnsi="宋体"/>
          <w:szCs w:val="21"/>
        </w:rPr>
        <w:t>GB 4806.6-2016</w:t>
      </w:r>
      <w:r>
        <w:rPr>
          <w:rFonts w:hint="eastAsia" w:ascii="宋体" w:hAnsi="宋体"/>
          <w:szCs w:val="21"/>
        </w:rPr>
        <w:t>食品安全国家标准</w:t>
      </w:r>
      <w:r>
        <w:rPr>
          <w:rFonts w:ascii="宋体" w:hAnsi="宋体"/>
          <w:szCs w:val="21"/>
        </w:rPr>
        <w:t xml:space="preserve"> </w:t>
      </w:r>
      <w:r>
        <w:rPr>
          <w:rFonts w:hint="eastAsia" w:ascii="宋体" w:hAnsi="宋体"/>
          <w:szCs w:val="21"/>
        </w:rPr>
        <w:t>食品接触用塑料树脂</w:t>
      </w:r>
    </w:p>
    <w:p>
      <w:pPr>
        <w:widowControl/>
        <w:spacing w:line="360" w:lineRule="auto"/>
        <w:ind w:firstLine="420" w:firstLineChars="200"/>
        <w:jc w:val="left"/>
        <w:rPr>
          <w:rFonts w:ascii="宋体" w:hAnsi="宋体"/>
          <w:szCs w:val="21"/>
        </w:rPr>
      </w:pPr>
      <w:r>
        <w:rPr>
          <w:rFonts w:ascii="宋体" w:hAnsi="宋体"/>
          <w:szCs w:val="21"/>
        </w:rPr>
        <w:t xml:space="preserve">GB 4806.7-2016 </w:t>
      </w:r>
      <w:r>
        <w:rPr>
          <w:rFonts w:hint="eastAsia" w:ascii="宋体" w:hAnsi="宋体"/>
          <w:szCs w:val="21"/>
        </w:rPr>
        <w:t>食品安全国家标准</w:t>
      </w:r>
      <w:r>
        <w:rPr>
          <w:rFonts w:ascii="宋体" w:hAnsi="宋体"/>
          <w:szCs w:val="21"/>
        </w:rPr>
        <w:t xml:space="preserve"> </w:t>
      </w:r>
      <w:r>
        <w:rPr>
          <w:rFonts w:hint="eastAsia" w:ascii="宋体" w:hAnsi="宋体"/>
          <w:szCs w:val="21"/>
        </w:rPr>
        <w:t>食品接触材料及制品</w:t>
      </w:r>
    </w:p>
    <w:p>
      <w:pPr>
        <w:widowControl/>
        <w:spacing w:line="360" w:lineRule="auto"/>
        <w:ind w:firstLine="420" w:firstLineChars="200"/>
        <w:jc w:val="left"/>
        <w:rPr>
          <w:rFonts w:ascii="宋体" w:hAnsi="宋体"/>
          <w:szCs w:val="21"/>
        </w:rPr>
      </w:pPr>
      <w:r>
        <w:rPr>
          <w:rFonts w:ascii="宋体" w:hAnsi="宋体"/>
          <w:szCs w:val="21"/>
        </w:rPr>
        <w:t>GB 4806.7-2</w:t>
      </w:r>
      <w:r>
        <w:rPr>
          <w:rFonts w:hint="eastAsia" w:ascii="宋体" w:hAnsi="宋体"/>
          <w:szCs w:val="21"/>
        </w:rPr>
        <w:t>023</w:t>
      </w:r>
      <w:r>
        <w:rPr>
          <w:rFonts w:ascii="宋体" w:hAnsi="宋体"/>
          <w:szCs w:val="21"/>
        </w:rPr>
        <w:t xml:space="preserve"> </w:t>
      </w:r>
      <w:r>
        <w:rPr>
          <w:rFonts w:hint="eastAsia" w:ascii="宋体" w:hAnsi="宋体"/>
          <w:szCs w:val="21"/>
        </w:rPr>
        <w:t>食品安全国家标准</w:t>
      </w:r>
      <w:r>
        <w:rPr>
          <w:rFonts w:ascii="宋体" w:hAnsi="宋体"/>
          <w:szCs w:val="21"/>
        </w:rPr>
        <w:t xml:space="preserve"> </w:t>
      </w:r>
      <w:r>
        <w:rPr>
          <w:rFonts w:hint="eastAsia" w:ascii="宋体" w:hAnsi="宋体"/>
          <w:szCs w:val="21"/>
        </w:rPr>
        <w:t>食品接触材料及制品</w:t>
      </w:r>
    </w:p>
    <w:p>
      <w:pPr>
        <w:widowControl/>
        <w:spacing w:line="360" w:lineRule="auto"/>
        <w:ind w:firstLine="420" w:firstLineChars="200"/>
        <w:jc w:val="left"/>
        <w:rPr>
          <w:rFonts w:ascii="宋体" w:hAnsi="宋体"/>
          <w:szCs w:val="21"/>
        </w:rPr>
      </w:pPr>
      <w:bookmarkStart w:id="0" w:name="OLE_LINK2"/>
      <w:r>
        <w:rPr>
          <w:rFonts w:hint="eastAsia" w:ascii="宋体" w:hAnsi="宋体"/>
          <w:szCs w:val="21"/>
        </w:rPr>
        <w:t>GB 9685-2016 食品安全国家标准 食品接触材料及制品用添加剂使用标准</w:t>
      </w:r>
    </w:p>
    <w:p>
      <w:pPr>
        <w:widowControl/>
        <w:spacing w:line="360" w:lineRule="auto"/>
        <w:ind w:firstLine="420" w:firstLineChars="200"/>
        <w:jc w:val="left"/>
        <w:rPr>
          <w:rFonts w:ascii="宋体" w:hAnsi="宋体"/>
          <w:szCs w:val="21"/>
        </w:rPr>
      </w:pPr>
      <w:r>
        <w:rPr>
          <w:rFonts w:hint="eastAsia" w:ascii="宋体" w:hAnsi="宋体"/>
          <w:szCs w:val="21"/>
        </w:rPr>
        <w:t>《食品相关产品生产许可实施细则（一）食品用塑料包装容器工具等制品部分》</w:t>
      </w:r>
      <w:bookmarkEnd w:id="0"/>
    </w:p>
    <w:p>
      <w:pPr>
        <w:widowControl/>
        <w:spacing w:line="360" w:lineRule="auto"/>
        <w:ind w:firstLine="420" w:firstLineChars="200"/>
        <w:jc w:val="left"/>
        <w:rPr>
          <w:rFonts w:ascii="仿宋_GB2312" w:hAnsi="仿宋_GB2312" w:eastAsia="仿宋_GB2312" w:cs="仿宋_GB2312"/>
          <w:kern w:val="0"/>
          <w:sz w:val="28"/>
          <w:szCs w:val="28"/>
        </w:rPr>
      </w:pPr>
      <w:r>
        <w:rPr>
          <w:rFonts w:hint="eastAsia" w:ascii="宋体" w:hAnsi="宋体"/>
          <w:szCs w:val="21"/>
        </w:rPr>
        <w:t>现行有效的企业标准、团体标准、地方标准及产品明示质量要求</w:t>
      </w:r>
    </w:p>
    <w:p>
      <w:pPr>
        <w:snapToGrid w:val="0"/>
        <w:spacing w:line="440" w:lineRule="exact"/>
        <w:outlineLvl w:val="0"/>
        <w:rPr>
          <w:szCs w:val="21"/>
        </w:rPr>
      </w:pPr>
      <w:r>
        <w:rPr>
          <w:rFonts w:asciiTheme="minorEastAsia" w:hAnsiTheme="minorEastAsia" w:eastAsiaTheme="minorEastAsia"/>
          <w:szCs w:val="21"/>
        </w:rPr>
        <w:t>3.2</w:t>
      </w:r>
      <w:r>
        <w:rPr>
          <w:szCs w:val="21"/>
        </w:rPr>
        <w:t>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黑体" w:hAnsi="宋体" w:eastAsia="黑体"/>
          <w:szCs w:val="21"/>
        </w:rPr>
      </w:pPr>
      <w:r>
        <w:rPr>
          <w:rFonts w:hint="eastAsia" w:ascii="宋体" w:hAnsi="宋体"/>
        </w:rPr>
        <w:t>检验中发现因样品失效或者其他原因致使检验无法进行的，检验人员应如实记录，并提供相关证明材料，报送组织监督抽查的市场监管部门</w:t>
      </w:r>
      <w:r>
        <w:rPr>
          <w:rFonts w:hint="eastAsia" w:ascii="宋体" w:hAnsi="宋体"/>
          <w:color w:val="000000"/>
          <w:szCs w:val="21"/>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521526"/>
    </w:sdtPr>
    <w:sdtContent>
      <w:p>
        <w:pPr>
          <w:pStyle w:val="4"/>
          <w:jc w:val="right"/>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DD0FF9"/>
    <w:rsid w:val="00004B65"/>
    <w:rsid w:val="00011B5D"/>
    <w:rsid w:val="00027B83"/>
    <w:rsid w:val="000A69B4"/>
    <w:rsid w:val="00174B4B"/>
    <w:rsid w:val="0018616C"/>
    <w:rsid w:val="00202C42"/>
    <w:rsid w:val="002C7072"/>
    <w:rsid w:val="002D276C"/>
    <w:rsid w:val="002F5871"/>
    <w:rsid w:val="00321478"/>
    <w:rsid w:val="003C106D"/>
    <w:rsid w:val="00435246"/>
    <w:rsid w:val="004757AF"/>
    <w:rsid w:val="0049278A"/>
    <w:rsid w:val="004954DE"/>
    <w:rsid w:val="004D2989"/>
    <w:rsid w:val="005316A3"/>
    <w:rsid w:val="00550B27"/>
    <w:rsid w:val="005A31A1"/>
    <w:rsid w:val="00601AF1"/>
    <w:rsid w:val="00611C40"/>
    <w:rsid w:val="0065326F"/>
    <w:rsid w:val="00665668"/>
    <w:rsid w:val="006E0B0F"/>
    <w:rsid w:val="00780562"/>
    <w:rsid w:val="00796046"/>
    <w:rsid w:val="007A07A5"/>
    <w:rsid w:val="007E3E88"/>
    <w:rsid w:val="008238FB"/>
    <w:rsid w:val="00867190"/>
    <w:rsid w:val="00883B7C"/>
    <w:rsid w:val="008F5D22"/>
    <w:rsid w:val="00935F60"/>
    <w:rsid w:val="009957B2"/>
    <w:rsid w:val="009E36C9"/>
    <w:rsid w:val="009F4DFE"/>
    <w:rsid w:val="00A16BBA"/>
    <w:rsid w:val="00A216C6"/>
    <w:rsid w:val="00A574C1"/>
    <w:rsid w:val="00AB353F"/>
    <w:rsid w:val="00B0707B"/>
    <w:rsid w:val="00B14238"/>
    <w:rsid w:val="00B63C09"/>
    <w:rsid w:val="00B709EF"/>
    <w:rsid w:val="00B81633"/>
    <w:rsid w:val="00BB6E3E"/>
    <w:rsid w:val="00BC4624"/>
    <w:rsid w:val="00BD098B"/>
    <w:rsid w:val="00BE7803"/>
    <w:rsid w:val="00C608CA"/>
    <w:rsid w:val="00CE25F2"/>
    <w:rsid w:val="00CF44EA"/>
    <w:rsid w:val="00DA0BD0"/>
    <w:rsid w:val="00DD0FF9"/>
    <w:rsid w:val="00DF7BCA"/>
    <w:rsid w:val="00E74DAE"/>
    <w:rsid w:val="00EC3947"/>
    <w:rsid w:val="00EF59F1"/>
    <w:rsid w:val="00F00EA0"/>
    <w:rsid w:val="00F7151B"/>
    <w:rsid w:val="00FF2195"/>
    <w:rsid w:val="046F071C"/>
    <w:rsid w:val="05FB4B1F"/>
    <w:rsid w:val="06451AA0"/>
    <w:rsid w:val="294B2DA7"/>
    <w:rsid w:val="2D686211"/>
    <w:rsid w:val="336321F2"/>
    <w:rsid w:val="37982730"/>
    <w:rsid w:val="42500A93"/>
    <w:rsid w:val="5FD1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0"/>
    <w:autoRedefine/>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批注文字 Char"/>
    <w:link w:val="2"/>
    <w:autoRedefine/>
    <w:qFormat/>
    <w:uiPriority w:val="99"/>
    <w:rPr>
      <w:kern w:val="2"/>
      <w:sz w:val="21"/>
      <w:szCs w:val="24"/>
    </w:rPr>
  </w:style>
  <w:style w:type="character" w:customStyle="1" w:styleId="11">
    <w:name w:val="批注文字 Char1"/>
    <w:basedOn w:val="7"/>
    <w:autoRedefine/>
    <w:semiHidden/>
    <w:qFormat/>
    <w:uiPriority w:val="99"/>
    <w:rPr>
      <w:kern w:val="2"/>
      <w:sz w:val="21"/>
      <w:szCs w:val="24"/>
    </w:rPr>
  </w:style>
  <w:style w:type="character" w:customStyle="1" w:styleId="12">
    <w:name w:val="批注框文本 Char"/>
    <w:basedOn w:val="7"/>
    <w:link w:val="3"/>
    <w:autoRedefine/>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297</Words>
  <Characters>1698</Characters>
  <Lines>14</Lines>
  <Paragraphs>3</Paragraphs>
  <TotalTime>0</TotalTime>
  <ScaleCrop>false</ScaleCrop>
  <LinksUpToDate>false</LinksUpToDate>
  <CharactersWithSpaces>1992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2019-07-12T00:29:00Z</dcterms:created>
  <dc:creator>陈卓辉</dc:creator>
  <cp:lastModifiedBy>孙小苓</cp:lastModifiedBy>
  <dcterms:modified xsi:type="dcterms:W3CDTF">2024-08-09T07:00:52Z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7BB884908EA244B6B65D916F569B8BFD_12</vt:lpwstr>
  </property>
</Properties>
</file>