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hAnsi="仿宋" w:eastAsia="方正小标宋简体" w:cs="方正仿宋简体"/>
          <w:sz w:val="32"/>
          <w:szCs w:val="32"/>
        </w:rPr>
      </w:pPr>
      <w:r>
        <w:rPr>
          <w:rFonts w:hint="eastAsia" w:ascii="方正小标宋简体" w:hAnsi="仿宋" w:eastAsia="方正小标宋简体" w:cs="方正仿宋简体"/>
          <w:sz w:val="32"/>
          <w:szCs w:val="32"/>
        </w:rPr>
        <w:t>鹤山市压力锅产品质量安全监督抽查实施细则</w:t>
      </w:r>
    </w:p>
    <w:p>
      <w:pPr>
        <w:spacing w:line="660" w:lineRule="exact"/>
        <w:jc w:val="center"/>
        <w:rPr>
          <w:rFonts w:ascii="方正小标宋简体" w:hAnsi="仿宋" w:eastAsia="方正小标宋简体" w:cs="方正仿宋简体"/>
          <w:sz w:val="32"/>
          <w:szCs w:val="32"/>
        </w:rPr>
      </w:pPr>
      <w:r>
        <w:rPr>
          <w:rFonts w:hint="eastAsia" w:ascii="方正小标宋简体" w:hAnsi="仿宋" w:eastAsia="方正小标宋简体" w:cs="方正仿宋简体"/>
          <w:sz w:val="32"/>
          <w:szCs w:val="32"/>
        </w:rPr>
        <w:t>（2024年版）</w:t>
      </w:r>
    </w:p>
    <w:p>
      <w:pPr>
        <w:snapToGrid w:val="0"/>
        <w:spacing w:line="440" w:lineRule="exact"/>
        <w:ind w:firstLine="403" w:firstLineChars="192"/>
        <w:rPr>
          <w:rFonts w:ascii="宋体" w:hAnsi="宋体"/>
          <w:szCs w:val="21"/>
        </w:rPr>
      </w:pPr>
      <w:r>
        <w:rPr>
          <w:rFonts w:hint="eastAsia" w:ascii="宋体" w:hAnsi="宋体"/>
          <w:szCs w:val="21"/>
        </w:rPr>
        <w:t>本细则适用于鹤山市生产</w:t>
      </w:r>
      <w:r>
        <w:rPr>
          <w:rFonts w:hint="eastAsia" w:ascii="宋体" w:hAnsi="宋体"/>
          <w:szCs w:val="21"/>
          <w:lang w:eastAsia="zh-CN"/>
        </w:rPr>
        <w:t>环节</w:t>
      </w:r>
      <w:bookmarkStart w:id="0" w:name="_GoBack"/>
      <w:bookmarkEnd w:id="0"/>
      <w:r>
        <w:rPr>
          <w:rFonts w:hint="eastAsia" w:ascii="宋体" w:hAnsi="宋体"/>
          <w:szCs w:val="21"/>
        </w:rPr>
        <w:t>中压力锅产品的监督抽查。</w:t>
      </w:r>
    </w:p>
    <w:p>
      <w:pPr>
        <w:snapToGrid w:val="0"/>
        <w:spacing w:line="360" w:lineRule="auto"/>
        <w:rPr>
          <w:b/>
          <w:sz w:val="24"/>
        </w:rPr>
      </w:pPr>
      <w:r>
        <w:rPr>
          <w:rFonts w:hint="eastAsia"/>
          <w:b/>
          <w:sz w:val="24"/>
        </w:rPr>
        <w:t>1、抽样方法</w:t>
      </w:r>
    </w:p>
    <w:p>
      <w:pPr>
        <w:snapToGrid w:val="0"/>
        <w:spacing w:line="360" w:lineRule="auto"/>
        <w:ind w:firstLine="420" w:firstLineChars="200"/>
        <w:rPr>
          <w:rFonts w:cs="宋体"/>
          <w:color w:val="000000"/>
        </w:rPr>
      </w:pPr>
      <w:r>
        <w:rPr>
          <w:rFonts w:hint="eastAsia" w:cs="宋体"/>
          <w:color w:val="000000"/>
        </w:rPr>
        <w:t>以随机抽样的方式在被抽样经营者的待销售（或待使用）产品中抽取。</w:t>
      </w:r>
    </w:p>
    <w:p>
      <w:pPr>
        <w:snapToGrid w:val="0"/>
        <w:spacing w:line="440" w:lineRule="exact"/>
        <w:ind w:firstLine="403" w:firstLineChars="192"/>
        <w:rPr>
          <w:rFonts w:ascii="宋体" w:hAnsi="宋体"/>
          <w:szCs w:val="21"/>
        </w:rPr>
      </w:pPr>
      <w:r>
        <w:rPr>
          <w:rFonts w:hint="eastAsia" w:ascii="宋体" w:hAnsi="宋体"/>
          <w:szCs w:val="21"/>
        </w:rPr>
        <w:t>随机数一般可使用随机数表、随机数骰子或扑克牌等方法产生。</w:t>
      </w:r>
    </w:p>
    <w:p>
      <w:pPr>
        <w:snapToGrid w:val="0"/>
        <w:spacing w:line="440" w:lineRule="exact"/>
        <w:ind w:firstLine="420" w:firstLineChars="200"/>
        <w:jc w:val="center"/>
        <w:rPr>
          <w:szCs w:val="21"/>
        </w:rPr>
      </w:pPr>
      <w:r>
        <w:rPr>
          <w:rFonts w:hint="eastAsia"/>
          <w:szCs w:val="21"/>
        </w:rPr>
        <w:t>表1 抽取样品数量</w:t>
      </w:r>
    </w:p>
    <w:tbl>
      <w:tblPr>
        <w:tblStyle w:val="6"/>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755"/>
        <w:gridCol w:w="2268"/>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trPr>
        <w:tc>
          <w:tcPr>
            <w:tcW w:w="1235" w:type="dxa"/>
            <w:vAlign w:val="center"/>
          </w:tcPr>
          <w:p>
            <w:pPr>
              <w:adjustRightInd w:val="0"/>
              <w:jc w:val="center"/>
              <w:rPr>
                <w:rFonts w:ascii="宋体" w:hAnsi="宋体"/>
                <w:b/>
                <w:szCs w:val="21"/>
              </w:rPr>
            </w:pPr>
            <w:r>
              <w:rPr>
                <w:rFonts w:ascii="宋体" w:hAnsi="宋体"/>
                <w:b/>
                <w:szCs w:val="21"/>
              </w:rPr>
              <w:t>产品种类</w:t>
            </w:r>
          </w:p>
        </w:tc>
        <w:tc>
          <w:tcPr>
            <w:tcW w:w="2755" w:type="dxa"/>
            <w:vAlign w:val="center"/>
          </w:tcPr>
          <w:p>
            <w:pPr>
              <w:adjustRightInd w:val="0"/>
              <w:jc w:val="center"/>
              <w:rPr>
                <w:rFonts w:ascii="宋体" w:hAnsi="宋体"/>
                <w:b/>
                <w:szCs w:val="21"/>
              </w:rPr>
            </w:pPr>
            <w:r>
              <w:rPr>
                <w:rFonts w:ascii="宋体" w:hAnsi="宋体"/>
                <w:b/>
                <w:szCs w:val="21"/>
              </w:rPr>
              <w:t>抽样数量</w:t>
            </w:r>
            <w:r>
              <w:rPr>
                <w:rFonts w:hint="eastAsia" w:ascii="宋体" w:hAnsi="宋体"/>
                <w:b/>
                <w:szCs w:val="21"/>
              </w:rPr>
              <w:t>（口/只）</w:t>
            </w:r>
          </w:p>
        </w:tc>
        <w:tc>
          <w:tcPr>
            <w:tcW w:w="2268" w:type="dxa"/>
            <w:vAlign w:val="center"/>
          </w:tcPr>
          <w:p>
            <w:pPr>
              <w:adjustRightInd w:val="0"/>
              <w:jc w:val="center"/>
              <w:rPr>
                <w:rFonts w:ascii="宋体" w:hAnsi="宋体"/>
                <w:b/>
                <w:szCs w:val="21"/>
              </w:rPr>
            </w:pPr>
            <w:r>
              <w:rPr>
                <w:rFonts w:ascii="宋体" w:hAnsi="宋体"/>
                <w:b/>
                <w:szCs w:val="21"/>
              </w:rPr>
              <w:t>检验样品数量</w:t>
            </w:r>
            <w:r>
              <w:rPr>
                <w:rFonts w:hint="eastAsia" w:ascii="宋体" w:hAnsi="宋体"/>
                <w:b/>
                <w:szCs w:val="21"/>
              </w:rPr>
              <w:t>（口/只）</w:t>
            </w:r>
          </w:p>
        </w:tc>
        <w:tc>
          <w:tcPr>
            <w:tcW w:w="2247" w:type="dxa"/>
            <w:vAlign w:val="center"/>
          </w:tcPr>
          <w:p>
            <w:pPr>
              <w:adjustRightInd w:val="0"/>
              <w:jc w:val="center"/>
              <w:rPr>
                <w:rFonts w:ascii="宋体" w:hAnsi="宋体"/>
                <w:b/>
                <w:szCs w:val="21"/>
              </w:rPr>
            </w:pPr>
            <w:r>
              <w:rPr>
                <w:rFonts w:ascii="宋体" w:hAnsi="宋体"/>
                <w:b/>
                <w:szCs w:val="21"/>
              </w:rPr>
              <w:t>备用样品数量</w:t>
            </w:r>
            <w:r>
              <w:rPr>
                <w:rFonts w:hint="eastAsia" w:ascii="宋体" w:hAnsi="宋体"/>
                <w:b/>
                <w:szCs w:val="21"/>
              </w:rPr>
              <w:t>（口/只）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1235" w:type="dxa"/>
            <w:vAlign w:val="center"/>
          </w:tcPr>
          <w:p>
            <w:pPr>
              <w:adjustRightInd w:val="0"/>
              <w:jc w:val="center"/>
              <w:rPr>
                <w:szCs w:val="21"/>
              </w:rPr>
            </w:pPr>
            <w:r>
              <w:rPr>
                <w:szCs w:val="21"/>
              </w:rPr>
              <w:t>压力锅</w:t>
            </w:r>
          </w:p>
        </w:tc>
        <w:tc>
          <w:tcPr>
            <w:tcW w:w="2755" w:type="dxa"/>
            <w:vAlign w:val="center"/>
          </w:tcPr>
          <w:p>
            <w:pPr>
              <w:adjustRightInd w:val="0"/>
              <w:jc w:val="center"/>
              <w:rPr>
                <w:szCs w:val="21"/>
              </w:rPr>
            </w:pPr>
            <w:r>
              <w:rPr>
                <w:szCs w:val="21"/>
              </w:rPr>
              <w:t>压力锅</w:t>
            </w:r>
            <w:r>
              <w:rPr>
                <w:rFonts w:hint="eastAsia"/>
                <w:szCs w:val="21"/>
              </w:rPr>
              <w:t>11</w:t>
            </w:r>
            <w:r>
              <w:rPr>
                <w:szCs w:val="21"/>
              </w:rPr>
              <w:t>口，密封圈</w:t>
            </w:r>
            <w:r>
              <w:rPr>
                <w:rFonts w:hint="eastAsia"/>
                <w:szCs w:val="21"/>
              </w:rPr>
              <w:t>11</w:t>
            </w:r>
            <w:r>
              <w:rPr>
                <w:szCs w:val="21"/>
              </w:rPr>
              <w:t>只</w:t>
            </w:r>
            <w:r>
              <w:rPr>
                <w:rFonts w:hint="eastAsia"/>
                <w:szCs w:val="21"/>
              </w:rPr>
              <w:t>，</w:t>
            </w:r>
            <w:r>
              <w:rPr>
                <w:rFonts w:cs="宋体"/>
                <w:szCs w:val="21"/>
              </w:rPr>
              <w:t>阀体组件</w:t>
            </w:r>
            <w:r>
              <w:rPr>
                <w:rFonts w:hint="eastAsia"/>
                <w:szCs w:val="21"/>
              </w:rPr>
              <w:t>11</w:t>
            </w:r>
            <w:r>
              <w:rPr>
                <w:szCs w:val="21"/>
              </w:rPr>
              <w:t>只</w:t>
            </w:r>
          </w:p>
        </w:tc>
        <w:tc>
          <w:tcPr>
            <w:tcW w:w="2268" w:type="dxa"/>
            <w:vAlign w:val="center"/>
          </w:tcPr>
          <w:p>
            <w:pPr>
              <w:adjustRightInd w:val="0"/>
              <w:jc w:val="center"/>
              <w:rPr>
                <w:szCs w:val="21"/>
              </w:rPr>
            </w:pPr>
            <w:r>
              <w:rPr>
                <w:rFonts w:hint="eastAsia"/>
                <w:szCs w:val="21"/>
              </w:rPr>
              <w:t>8</w:t>
            </w:r>
            <w:r>
              <w:rPr>
                <w:szCs w:val="21"/>
              </w:rPr>
              <w:t>口锅，</w:t>
            </w:r>
            <w:r>
              <w:rPr>
                <w:rFonts w:hint="eastAsia"/>
                <w:szCs w:val="21"/>
              </w:rPr>
              <w:t>8</w:t>
            </w:r>
            <w:r>
              <w:rPr>
                <w:szCs w:val="21"/>
              </w:rPr>
              <w:t>只密封圈</w:t>
            </w:r>
            <w:r>
              <w:rPr>
                <w:rFonts w:hint="eastAsia"/>
                <w:szCs w:val="21"/>
              </w:rPr>
              <w:t>，</w:t>
            </w:r>
            <w:r>
              <w:rPr>
                <w:rFonts w:cs="宋体"/>
                <w:szCs w:val="21"/>
              </w:rPr>
              <w:t>阀体组件</w:t>
            </w:r>
            <w:r>
              <w:rPr>
                <w:rFonts w:hint="eastAsia"/>
                <w:szCs w:val="21"/>
              </w:rPr>
              <w:t>8</w:t>
            </w:r>
            <w:r>
              <w:rPr>
                <w:szCs w:val="21"/>
              </w:rPr>
              <w:t>只</w:t>
            </w:r>
          </w:p>
        </w:tc>
        <w:tc>
          <w:tcPr>
            <w:tcW w:w="2247" w:type="dxa"/>
            <w:vAlign w:val="center"/>
          </w:tcPr>
          <w:p>
            <w:pPr>
              <w:adjustRightInd w:val="0"/>
              <w:jc w:val="center"/>
              <w:rPr>
                <w:szCs w:val="21"/>
              </w:rPr>
            </w:pPr>
            <w:r>
              <w:rPr>
                <w:rFonts w:hint="eastAsia"/>
                <w:szCs w:val="21"/>
              </w:rPr>
              <w:t>3</w:t>
            </w:r>
            <w:r>
              <w:rPr>
                <w:szCs w:val="21"/>
              </w:rPr>
              <w:t>口锅，</w:t>
            </w:r>
            <w:r>
              <w:rPr>
                <w:rFonts w:hint="eastAsia"/>
                <w:szCs w:val="21"/>
              </w:rPr>
              <w:t>3</w:t>
            </w:r>
            <w:r>
              <w:rPr>
                <w:szCs w:val="21"/>
              </w:rPr>
              <w:t>只密封圈</w:t>
            </w:r>
            <w:r>
              <w:rPr>
                <w:rFonts w:hint="eastAsia"/>
                <w:szCs w:val="21"/>
              </w:rPr>
              <w:t>，</w:t>
            </w:r>
            <w:r>
              <w:rPr>
                <w:rFonts w:cs="宋体"/>
                <w:szCs w:val="21"/>
              </w:rPr>
              <w:t>阀体组件</w:t>
            </w:r>
            <w:r>
              <w:rPr>
                <w:rFonts w:hint="eastAsia"/>
                <w:szCs w:val="21"/>
              </w:rPr>
              <w:t>3</w:t>
            </w:r>
            <w:r>
              <w:rPr>
                <w:szCs w:val="21"/>
              </w:rPr>
              <w:t>只</w:t>
            </w:r>
          </w:p>
        </w:tc>
      </w:tr>
    </w:tbl>
    <w:p>
      <w:pPr>
        <w:snapToGrid w:val="0"/>
        <w:spacing w:line="360" w:lineRule="auto"/>
        <w:rPr>
          <w:b/>
          <w:sz w:val="24"/>
        </w:rPr>
      </w:pPr>
      <w:r>
        <w:rPr>
          <w:rFonts w:hint="eastAsia"/>
          <w:b/>
          <w:sz w:val="24"/>
        </w:rPr>
        <w:t>2、检验依据</w:t>
      </w:r>
    </w:p>
    <w:p>
      <w:pPr>
        <w:snapToGrid w:val="0"/>
        <w:spacing w:line="440" w:lineRule="exact"/>
        <w:jc w:val="center"/>
        <w:outlineLvl w:val="0"/>
        <w:rPr>
          <w:rFonts w:ascii="宋体" w:hAnsi="宋体" w:cs="宋体"/>
          <w:bCs/>
          <w:szCs w:val="21"/>
        </w:rPr>
      </w:pPr>
      <w:r>
        <w:rPr>
          <w:rFonts w:hint="eastAsia" w:ascii="宋体" w:hAnsi="宋体" w:cs="宋体"/>
          <w:bCs/>
          <w:szCs w:val="21"/>
        </w:rPr>
        <w:t>表2 压力锅检验项目</w:t>
      </w:r>
    </w:p>
    <w:tbl>
      <w:tblPr>
        <w:tblStyle w:val="6"/>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51"/>
        <w:gridCol w:w="1080"/>
        <w:gridCol w:w="1800"/>
        <w:gridCol w:w="2700"/>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17" w:type="dxa"/>
            <w:vAlign w:val="center"/>
          </w:tcPr>
          <w:p>
            <w:pPr>
              <w:jc w:val="center"/>
              <w:outlineLvl w:val="0"/>
              <w:rPr>
                <w:rFonts w:ascii="宋体" w:hAnsi="宋体"/>
                <w:b/>
                <w:szCs w:val="21"/>
              </w:rPr>
            </w:pPr>
            <w:r>
              <w:rPr>
                <w:rFonts w:hint="eastAsia" w:ascii="宋体" w:hAnsi="宋体"/>
                <w:b/>
                <w:szCs w:val="21"/>
              </w:rPr>
              <w:t>序号</w:t>
            </w:r>
          </w:p>
        </w:tc>
        <w:tc>
          <w:tcPr>
            <w:tcW w:w="3431" w:type="dxa"/>
            <w:gridSpan w:val="3"/>
            <w:vAlign w:val="center"/>
          </w:tcPr>
          <w:p>
            <w:pPr>
              <w:jc w:val="center"/>
              <w:outlineLvl w:val="0"/>
              <w:rPr>
                <w:rFonts w:ascii="宋体" w:hAnsi="宋体"/>
                <w:b/>
                <w:szCs w:val="21"/>
              </w:rPr>
            </w:pPr>
            <w:r>
              <w:rPr>
                <w:rFonts w:hint="eastAsia" w:ascii="宋体" w:hAnsi="宋体"/>
                <w:b/>
                <w:szCs w:val="21"/>
              </w:rPr>
              <w:t>检验项目</w:t>
            </w:r>
          </w:p>
        </w:tc>
        <w:tc>
          <w:tcPr>
            <w:tcW w:w="2700" w:type="dxa"/>
            <w:vAlign w:val="center"/>
          </w:tcPr>
          <w:p>
            <w:pPr>
              <w:jc w:val="center"/>
              <w:outlineLvl w:val="0"/>
              <w:rPr>
                <w:rFonts w:ascii="宋体" w:hAnsi="宋体"/>
                <w:b/>
                <w:szCs w:val="21"/>
              </w:rPr>
            </w:pPr>
            <w:r>
              <w:rPr>
                <w:rFonts w:hint="eastAsia" w:ascii="宋体" w:hAnsi="宋体"/>
                <w:b/>
                <w:szCs w:val="21"/>
              </w:rPr>
              <w:t>检验依据</w:t>
            </w:r>
          </w:p>
        </w:tc>
        <w:tc>
          <w:tcPr>
            <w:tcW w:w="2225" w:type="dxa"/>
            <w:vAlign w:val="center"/>
          </w:tcPr>
          <w:p>
            <w:pPr>
              <w:jc w:val="center"/>
              <w:outlineLvl w:val="0"/>
              <w:rPr>
                <w:rFonts w:ascii="宋体" w:hAnsi="宋体"/>
                <w:b/>
                <w:szCs w:val="21"/>
              </w:rPr>
            </w:pPr>
            <w:r>
              <w:rPr>
                <w:rFonts w:hint="eastAsia" w:ascii="宋体" w:hAnsi="宋体"/>
                <w:b/>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vAlign w:val="center"/>
          </w:tcPr>
          <w:p>
            <w:pPr>
              <w:jc w:val="center"/>
              <w:textAlignment w:val="center"/>
              <w:rPr>
                <w:rFonts w:cs="宋体"/>
                <w:szCs w:val="21"/>
              </w:rPr>
            </w:pPr>
            <w:r>
              <w:rPr>
                <w:rFonts w:hint="eastAsia" w:cs="宋体"/>
                <w:szCs w:val="21"/>
              </w:rPr>
              <w:t>1</w:t>
            </w:r>
          </w:p>
        </w:tc>
        <w:tc>
          <w:tcPr>
            <w:tcW w:w="551" w:type="dxa"/>
            <w:vMerge w:val="restart"/>
            <w:vAlign w:val="center"/>
          </w:tcPr>
          <w:p>
            <w:pPr>
              <w:jc w:val="center"/>
              <w:textAlignment w:val="center"/>
              <w:rPr>
                <w:rFonts w:cs="宋体"/>
                <w:szCs w:val="21"/>
              </w:rPr>
            </w:pPr>
            <w:r>
              <w:rPr>
                <w:rFonts w:hint="eastAsia" w:cs="宋体"/>
                <w:szCs w:val="21"/>
              </w:rPr>
              <w:t>金属部件</w:t>
            </w:r>
          </w:p>
        </w:tc>
        <w:tc>
          <w:tcPr>
            <w:tcW w:w="1080" w:type="dxa"/>
            <w:vMerge w:val="restart"/>
            <w:vAlign w:val="center"/>
          </w:tcPr>
          <w:p>
            <w:pPr>
              <w:jc w:val="center"/>
              <w:textAlignment w:val="center"/>
              <w:rPr>
                <w:rFonts w:cs="宋体"/>
                <w:szCs w:val="21"/>
              </w:rPr>
            </w:pPr>
            <w:r>
              <w:rPr>
                <w:rFonts w:hint="eastAsia" w:cs="宋体"/>
                <w:szCs w:val="21"/>
              </w:rPr>
              <w:t>锅体与食品接触部位</w:t>
            </w:r>
          </w:p>
        </w:tc>
        <w:tc>
          <w:tcPr>
            <w:tcW w:w="1800" w:type="dxa"/>
            <w:vAlign w:val="center"/>
          </w:tcPr>
          <w:p>
            <w:pPr>
              <w:jc w:val="center"/>
              <w:textAlignment w:val="center"/>
              <w:rPr>
                <w:rFonts w:cs="宋体"/>
                <w:szCs w:val="21"/>
              </w:rPr>
            </w:pPr>
            <w:r>
              <w:rPr>
                <w:rFonts w:hint="eastAsia" w:cs="宋体"/>
                <w:szCs w:val="21"/>
              </w:rPr>
              <w:t>感官</w:t>
            </w:r>
          </w:p>
        </w:tc>
        <w:tc>
          <w:tcPr>
            <w:tcW w:w="2700" w:type="dxa"/>
            <w:vMerge w:val="restart"/>
            <w:vAlign w:val="center"/>
          </w:tcPr>
          <w:p>
            <w:pPr>
              <w:jc w:val="center"/>
              <w:textAlignment w:val="center"/>
              <w:rPr>
                <w:rFonts w:cs="宋体"/>
                <w:szCs w:val="21"/>
              </w:rPr>
            </w:pPr>
            <w:r>
              <w:rPr>
                <w:rFonts w:hint="eastAsia" w:cs="宋体"/>
                <w:szCs w:val="21"/>
              </w:rPr>
              <w:t>GB 4806.9-2016</w:t>
            </w:r>
          </w:p>
          <w:p>
            <w:pPr>
              <w:jc w:val="center"/>
              <w:textAlignment w:val="center"/>
              <w:rPr>
                <w:rFonts w:cs="宋体"/>
                <w:szCs w:val="21"/>
              </w:rPr>
            </w:pPr>
            <w:r>
              <w:rPr>
                <w:rFonts w:hint="eastAsia" w:cs="宋体"/>
                <w:szCs w:val="21"/>
              </w:rPr>
              <w:t>GB 4806.9-2023</w:t>
            </w:r>
          </w:p>
        </w:tc>
        <w:tc>
          <w:tcPr>
            <w:tcW w:w="2225" w:type="dxa"/>
            <w:vAlign w:val="center"/>
          </w:tcPr>
          <w:p>
            <w:pPr>
              <w:jc w:val="center"/>
              <w:textAlignment w:val="center"/>
              <w:rPr>
                <w:rFonts w:cs="宋体"/>
                <w:szCs w:val="21"/>
              </w:rPr>
            </w:pPr>
            <w:r>
              <w:rPr>
                <w:rFonts w:hint="eastAsia" w:cs="宋体"/>
                <w:szCs w:val="21"/>
              </w:rPr>
              <w:t>GB 4806.9-2016</w:t>
            </w:r>
          </w:p>
          <w:p>
            <w:pPr>
              <w:jc w:val="center"/>
              <w:textAlignment w:val="center"/>
              <w:rPr>
                <w:rFonts w:cs="宋体"/>
                <w:szCs w:val="21"/>
              </w:rPr>
            </w:pPr>
            <w:r>
              <w:rPr>
                <w:rFonts w:hint="eastAsia" w:cs="宋体"/>
                <w:szCs w:val="21"/>
              </w:rPr>
              <w:t>GB 4806.9-2023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vAlign w:val="center"/>
          </w:tcPr>
          <w:p>
            <w:pPr>
              <w:jc w:val="center"/>
              <w:textAlignment w:val="center"/>
              <w:rPr>
                <w:rFonts w:cs="宋体"/>
                <w:szCs w:val="21"/>
              </w:rPr>
            </w:pPr>
            <w:r>
              <w:rPr>
                <w:rFonts w:hint="eastAsia" w:cs="宋体"/>
                <w:szCs w:val="21"/>
              </w:rPr>
              <w:t>2</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浸泡液</w:t>
            </w:r>
          </w:p>
        </w:tc>
        <w:tc>
          <w:tcPr>
            <w:tcW w:w="2700" w:type="dxa"/>
            <w:vMerge w:val="continue"/>
            <w:vAlign w:val="center"/>
          </w:tcPr>
          <w:p>
            <w:pPr>
              <w:jc w:val="center"/>
              <w:textAlignment w:val="center"/>
              <w:rPr>
                <w:rFonts w:cs="宋体"/>
                <w:szCs w:val="21"/>
              </w:rPr>
            </w:pPr>
          </w:p>
        </w:tc>
        <w:tc>
          <w:tcPr>
            <w:tcW w:w="2225" w:type="dxa"/>
            <w:vAlign w:val="center"/>
          </w:tcPr>
          <w:p>
            <w:pPr>
              <w:jc w:val="center"/>
              <w:textAlignment w:val="center"/>
              <w:rPr>
                <w:rFonts w:cs="宋体"/>
                <w:szCs w:val="21"/>
              </w:rPr>
            </w:pPr>
            <w:r>
              <w:rPr>
                <w:rFonts w:hint="eastAsia" w:cs="宋体"/>
                <w:szCs w:val="21"/>
              </w:rPr>
              <w:t>GB 4806.9-2016</w:t>
            </w:r>
          </w:p>
          <w:p>
            <w:pPr>
              <w:jc w:val="center"/>
              <w:textAlignment w:val="center"/>
              <w:rPr>
                <w:rFonts w:cs="宋体"/>
                <w:szCs w:val="21"/>
              </w:rPr>
            </w:pPr>
            <w:r>
              <w:rPr>
                <w:rFonts w:hint="eastAsia" w:cs="宋体"/>
                <w:szCs w:val="21"/>
              </w:rPr>
              <w:t>GB 4806.9-2023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17" w:type="dxa"/>
            <w:vAlign w:val="center"/>
          </w:tcPr>
          <w:p>
            <w:pPr>
              <w:jc w:val="center"/>
              <w:textAlignment w:val="center"/>
              <w:rPr>
                <w:rFonts w:cs="宋体"/>
                <w:szCs w:val="21"/>
              </w:rPr>
            </w:pPr>
            <w:r>
              <w:rPr>
                <w:rFonts w:hint="eastAsia" w:cs="宋体"/>
                <w:szCs w:val="21"/>
              </w:rPr>
              <w:t>3</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砷（As）</w:t>
            </w:r>
          </w:p>
        </w:tc>
        <w:tc>
          <w:tcPr>
            <w:tcW w:w="2700" w:type="dxa"/>
            <w:vMerge w:val="continue"/>
            <w:vAlign w:val="center"/>
          </w:tcPr>
          <w:p>
            <w:pPr>
              <w:jc w:val="center"/>
            </w:pPr>
          </w:p>
        </w:tc>
        <w:tc>
          <w:tcPr>
            <w:tcW w:w="2225" w:type="dxa"/>
            <w:vMerge w:val="restart"/>
            <w:vAlign w:val="center"/>
          </w:tcPr>
          <w:p>
            <w:pPr>
              <w:jc w:val="center"/>
              <w:textAlignment w:val="center"/>
              <w:rPr>
                <w:rFonts w:cs="宋体"/>
                <w:szCs w:val="21"/>
              </w:rPr>
            </w:pPr>
            <w:r>
              <w:rPr>
                <w:rFonts w:hint="eastAsia" w:cs="宋体"/>
                <w:szCs w:val="21"/>
              </w:rPr>
              <w:t>GB 31604.38第二部分或GB 31604.49-2016第二部分或GB 31604.49-2023第二篇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7" w:type="dxa"/>
            <w:vAlign w:val="center"/>
          </w:tcPr>
          <w:p>
            <w:pPr>
              <w:jc w:val="center"/>
              <w:textAlignment w:val="center"/>
              <w:rPr>
                <w:rFonts w:cs="宋体"/>
                <w:szCs w:val="21"/>
              </w:rPr>
            </w:pPr>
            <w:r>
              <w:rPr>
                <w:rFonts w:hint="eastAsia" w:cs="宋体"/>
                <w:szCs w:val="21"/>
              </w:rPr>
              <w:t>4</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镉（Cd）</w:t>
            </w:r>
          </w:p>
        </w:tc>
        <w:tc>
          <w:tcPr>
            <w:tcW w:w="2700" w:type="dxa"/>
            <w:vMerge w:val="continue"/>
            <w:vAlign w:val="center"/>
          </w:tcPr>
          <w:p>
            <w:pPr>
              <w:jc w:val="center"/>
            </w:pPr>
          </w:p>
        </w:tc>
        <w:tc>
          <w:tcPr>
            <w:tcW w:w="2225" w:type="dxa"/>
            <w:vMerge w:val="continue"/>
            <w:vAlign w:val="center"/>
          </w:tcPr>
          <w:p>
            <w:pPr>
              <w:jc w:val="center"/>
              <w:textAlignment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817" w:type="dxa"/>
            <w:vAlign w:val="center"/>
          </w:tcPr>
          <w:p>
            <w:pPr>
              <w:jc w:val="center"/>
              <w:textAlignment w:val="center"/>
              <w:rPr>
                <w:rFonts w:cs="宋体"/>
                <w:szCs w:val="21"/>
              </w:rPr>
            </w:pPr>
            <w:r>
              <w:rPr>
                <w:rFonts w:hint="eastAsia" w:cs="宋体"/>
                <w:szCs w:val="21"/>
              </w:rPr>
              <w:t>5</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铅（Pb）</w:t>
            </w:r>
          </w:p>
        </w:tc>
        <w:tc>
          <w:tcPr>
            <w:tcW w:w="2700" w:type="dxa"/>
            <w:vMerge w:val="continue"/>
            <w:vAlign w:val="center"/>
          </w:tcPr>
          <w:p>
            <w:pPr>
              <w:jc w:val="center"/>
            </w:pPr>
          </w:p>
        </w:tc>
        <w:tc>
          <w:tcPr>
            <w:tcW w:w="2225" w:type="dxa"/>
            <w:vMerge w:val="continue"/>
            <w:vAlign w:val="center"/>
          </w:tcPr>
          <w:p>
            <w:pPr>
              <w:jc w:val="center"/>
              <w:textAlignment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17" w:type="dxa"/>
            <w:vAlign w:val="center"/>
          </w:tcPr>
          <w:p>
            <w:pPr>
              <w:jc w:val="center"/>
              <w:textAlignment w:val="center"/>
              <w:rPr>
                <w:rFonts w:cs="宋体"/>
                <w:szCs w:val="21"/>
              </w:rPr>
            </w:pPr>
            <w:r>
              <w:rPr>
                <w:rFonts w:hint="eastAsia" w:cs="宋体"/>
                <w:szCs w:val="21"/>
              </w:rPr>
              <w:t>6</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铬（Cr）</w:t>
            </w:r>
          </w:p>
        </w:tc>
        <w:tc>
          <w:tcPr>
            <w:tcW w:w="2700" w:type="dxa"/>
            <w:vMerge w:val="continue"/>
            <w:vAlign w:val="center"/>
          </w:tcPr>
          <w:p>
            <w:pPr>
              <w:jc w:val="center"/>
            </w:pPr>
          </w:p>
        </w:tc>
        <w:tc>
          <w:tcPr>
            <w:tcW w:w="2225" w:type="dxa"/>
            <w:vMerge w:val="continue"/>
            <w:vAlign w:val="center"/>
          </w:tcPr>
          <w:p>
            <w:pPr>
              <w:jc w:val="center"/>
              <w:textAlignment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17" w:type="dxa"/>
            <w:vAlign w:val="center"/>
          </w:tcPr>
          <w:p>
            <w:pPr>
              <w:jc w:val="center"/>
              <w:textAlignment w:val="center"/>
              <w:rPr>
                <w:rFonts w:cs="宋体"/>
                <w:szCs w:val="21"/>
              </w:rPr>
            </w:pPr>
            <w:r>
              <w:rPr>
                <w:rFonts w:hint="eastAsia" w:cs="宋体"/>
                <w:szCs w:val="21"/>
              </w:rPr>
              <w:t>7</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镍（Ni）</w:t>
            </w:r>
          </w:p>
        </w:tc>
        <w:tc>
          <w:tcPr>
            <w:tcW w:w="2700" w:type="dxa"/>
            <w:vMerge w:val="continue"/>
            <w:vAlign w:val="center"/>
          </w:tcPr>
          <w:p>
            <w:pPr>
              <w:jc w:val="center"/>
            </w:pPr>
          </w:p>
        </w:tc>
        <w:tc>
          <w:tcPr>
            <w:tcW w:w="2225" w:type="dxa"/>
            <w:vMerge w:val="continue"/>
            <w:vAlign w:val="center"/>
          </w:tcPr>
          <w:p>
            <w:pPr>
              <w:jc w:val="center"/>
              <w:textAlignment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jc w:val="center"/>
              <w:textAlignment w:val="center"/>
              <w:rPr>
                <w:rFonts w:cs="宋体"/>
                <w:szCs w:val="21"/>
              </w:rPr>
            </w:pPr>
            <w:r>
              <w:rPr>
                <w:rFonts w:hint="eastAsia" w:cs="宋体"/>
                <w:szCs w:val="21"/>
              </w:rPr>
              <w:t>8</w:t>
            </w:r>
          </w:p>
        </w:tc>
        <w:tc>
          <w:tcPr>
            <w:tcW w:w="551" w:type="dxa"/>
            <w:vMerge w:val="continue"/>
            <w:vAlign w:val="center"/>
          </w:tcPr>
          <w:p>
            <w:pPr>
              <w:jc w:val="center"/>
              <w:textAlignment w:val="center"/>
              <w:rPr>
                <w:rFonts w:cs="宋体"/>
                <w:szCs w:val="21"/>
              </w:rPr>
            </w:pPr>
          </w:p>
        </w:tc>
        <w:tc>
          <w:tcPr>
            <w:tcW w:w="1080" w:type="dxa"/>
            <w:vMerge w:val="restart"/>
            <w:vAlign w:val="center"/>
          </w:tcPr>
          <w:p>
            <w:pPr>
              <w:jc w:val="center"/>
              <w:textAlignment w:val="center"/>
              <w:rPr>
                <w:rFonts w:cs="宋体"/>
                <w:szCs w:val="21"/>
              </w:rPr>
            </w:pPr>
            <w:r>
              <w:rPr>
                <w:rFonts w:cs="宋体"/>
                <w:szCs w:val="21"/>
              </w:rPr>
              <w:t>阀体组件</w:t>
            </w:r>
            <w:r>
              <w:rPr>
                <w:rFonts w:hint="eastAsia" w:cs="宋体"/>
                <w:szCs w:val="21"/>
              </w:rPr>
              <w:t>与食品接触部位</w:t>
            </w:r>
          </w:p>
        </w:tc>
        <w:tc>
          <w:tcPr>
            <w:tcW w:w="1800" w:type="dxa"/>
            <w:vAlign w:val="center"/>
          </w:tcPr>
          <w:p>
            <w:pPr>
              <w:jc w:val="center"/>
              <w:textAlignment w:val="center"/>
              <w:rPr>
                <w:rFonts w:cs="宋体"/>
                <w:szCs w:val="21"/>
              </w:rPr>
            </w:pPr>
            <w:r>
              <w:rPr>
                <w:rFonts w:hint="eastAsia" w:cs="宋体"/>
                <w:szCs w:val="21"/>
              </w:rPr>
              <w:t>感官</w:t>
            </w:r>
          </w:p>
        </w:tc>
        <w:tc>
          <w:tcPr>
            <w:tcW w:w="2700" w:type="dxa"/>
            <w:vMerge w:val="restart"/>
            <w:vAlign w:val="center"/>
          </w:tcPr>
          <w:p>
            <w:pPr>
              <w:jc w:val="center"/>
              <w:textAlignment w:val="center"/>
              <w:rPr>
                <w:rFonts w:cs="宋体"/>
                <w:szCs w:val="21"/>
              </w:rPr>
            </w:pPr>
            <w:r>
              <w:rPr>
                <w:rFonts w:hint="eastAsia" w:cs="宋体"/>
                <w:szCs w:val="21"/>
              </w:rPr>
              <w:t>GB 4806.9-2016</w:t>
            </w:r>
          </w:p>
          <w:p>
            <w:pPr>
              <w:jc w:val="center"/>
            </w:pPr>
            <w:r>
              <w:rPr>
                <w:rFonts w:hint="eastAsia" w:cs="宋体"/>
                <w:szCs w:val="21"/>
              </w:rPr>
              <w:t>GB 4806.9-2023</w:t>
            </w:r>
          </w:p>
        </w:tc>
        <w:tc>
          <w:tcPr>
            <w:tcW w:w="2225" w:type="dxa"/>
            <w:vMerge w:val="restart"/>
            <w:vAlign w:val="center"/>
          </w:tcPr>
          <w:p>
            <w:pPr>
              <w:jc w:val="center"/>
              <w:textAlignment w:val="center"/>
              <w:rPr>
                <w:rFonts w:cs="宋体"/>
                <w:szCs w:val="21"/>
              </w:rPr>
            </w:pPr>
            <w:r>
              <w:rPr>
                <w:rFonts w:hint="eastAsia" w:cs="宋体"/>
                <w:szCs w:val="21"/>
              </w:rPr>
              <w:t>GB 4806.9-2016</w:t>
            </w:r>
          </w:p>
          <w:p>
            <w:pPr>
              <w:jc w:val="center"/>
              <w:textAlignment w:val="center"/>
              <w:rPr>
                <w:rFonts w:cs="宋体"/>
                <w:szCs w:val="21"/>
              </w:rPr>
            </w:pPr>
            <w:r>
              <w:rPr>
                <w:rFonts w:hint="eastAsia" w:cs="宋体"/>
                <w:szCs w:val="21"/>
              </w:rPr>
              <w:t>GB 4806.9-2023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jc w:val="center"/>
              <w:textAlignment w:val="center"/>
              <w:rPr>
                <w:rFonts w:cs="宋体"/>
                <w:szCs w:val="21"/>
              </w:rPr>
            </w:pPr>
            <w:r>
              <w:rPr>
                <w:rFonts w:hint="eastAsia" w:cs="宋体"/>
                <w:szCs w:val="21"/>
              </w:rPr>
              <w:t>9</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浸泡液</w:t>
            </w:r>
          </w:p>
        </w:tc>
        <w:tc>
          <w:tcPr>
            <w:tcW w:w="2700" w:type="dxa"/>
            <w:vMerge w:val="continue"/>
            <w:vAlign w:val="center"/>
          </w:tcPr>
          <w:p>
            <w:pPr>
              <w:jc w:val="center"/>
              <w:textAlignment w:val="center"/>
              <w:rPr>
                <w:rFonts w:cs="宋体"/>
                <w:szCs w:val="21"/>
              </w:rPr>
            </w:pPr>
          </w:p>
        </w:tc>
        <w:tc>
          <w:tcPr>
            <w:tcW w:w="2225" w:type="dxa"/>
            <w:vMerge w:val="continue"/>
            <w:vAlign w:val="center"/>
          </w:tcPr>
          <w:p>
            <w:pPr>
              <w:jc w:val="center"/>
              <w:textAlignment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10</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砷（As）</w:t>
            </w:r>
          </w:p>
        </w:tc>
        <w:tc>
          <w:tcPr>
            <w:tcW w:w="2700" w:type="dxa"/>
            <w:vMerge w:val="continue"/>
            <w:vAlign w:val="center"/>
          </w:tcPr>
          <w:p>
            <w:pPr>
              <w:jc w:val="center"/>
            </w:pPr>
          </w:p>
        </w:tc>
        <w:tc>
          <w:tcPr>
            <w:tcW w:w="2225" w:type="dxa"/>
            <w:vMerge w:val="restart"/>
            <w:vAlign w:val="center"/>
          </w:tcPr>
          <w:p>
            <w:pPr>
              <w:jc w:val="center"/>
              <w:textAlignment w:val="center"/>
              <w:rPr>
                <w:rFonts w:cs="宋体"/>
                <w:szCs w:val="21"/>
              </w:rPr>
            </w:pPr>
            <w:r>
              <w:rPr>
                <w:rFonts w:hint="eastAsia" w:cs="宋体"/>
                <w:szCs w:val="21"/>
              </w:rPr>
              <w:t>GB 31604.38第二部分或GB 31604.49-2016第二部分或GB 31604.49-2023第二篇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11</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镉（Cd）</w:t>
            </w:r>
          </w:p>
        </w:tc>
        <w:tc>
          <w:tcPr>
            <w:tcW w:w="2700" w:type="dxa"/>
            <w:vMerge w:val="continue"/>
            <w:vAlign w:val="center"/>
          </w:tcPr>
          <w:p>
            <w:pPr>
              <w:jc w:val="center"/>
            </w:pPr>
          </w:p>
        </w:tc>
        <w:tc>
          <w:tcPr>
            <w:tcW w:w="2225" w:type="dxa"/>
            <w:vMerge w:val="continue"/>
            <w:vAlign w:val="center"/>
          </w:tcPr>
          <w:p>
            <w:pPr>
              <w:jc w:val="center"/>
              <w:textAlignment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12</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铅（Pb）</w:t>
            </w:r>
          </w:p>
        </w:tc>
        <w:tc>
          <w:tcPr>
            <w:tcW w:w="2700" w:type="dxa"/>
            <w:vMerge w:val="continue"/>
            <w:vAlign w:val="center"/>
          </w:tcPr>
          <w:p>
            <w:pPr>
              <w:jc w:val="center"/>
            </w:pPr>
          </w:p>
        </w:tc>
        <w:tc>
          <w:tcPr>
            <w:tcW w:w="2225" w:type="dxa"/>
            <w:vMerge w:val="continue"/>
            <w:vAlign w:val="center"/>
          </w:tcPr>
          <w:p>
            <w:pPr>
              <w:jc w:val="center"/>
              <w:textAlignment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13</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铬（Cr）</w:t>
            </w:r>
          </w:p>
        </w:tc>
        <w:tc>
          <w:tcPr>
            <w:tcW w:w="2700" w:type="dxa"/>
            <w:vMerge w:val="continue"/>
            <w:vAlign w:val="center"/>
          </w:tcPr>
          <w:p>
            <w:pPr>
              <w:jc w:val="center"/>
            </w:pPr>
          </w:p>
        </w:tc>
        <w:tc>
          <w:tcPr>
            <w:tcW w:w="2225" w:type="dxa"/>
            <w:vMerge w:val="continue"/>
            <w:vAlign w:val="center"/>
          </w:tcPr>
          <w:p>
            <w:pPr>
              <w:jc w:val="center"/>
              <w:textAlignment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14</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镍（Ni）</w:t>
            </w:r>
          </w:p>
        </w:tc>
        <w:tc>
          <w:tcPr>
            <w:tcW w:w="2700" w:type="dxa"/>
            <w:vMerge w:val="continue"/>
            <w:vAlign w:val="center"/>
          </w:tcPr>
          <w:p>
            <w:pPr>
              <w:jc w:val="center"/>
            </w:pPr>
          </w:p>
        </w:tc>
        <w:tc>
          <w:tcPr>
            <w:tcW w:w="2225" w:type="dxa"/>
            <w:vMerge w:val="continue"/>
            <w:vAlign w:val="center"/>
          </w:tcPr>
          <w:p>
            <w:pPr>
              <w:jc w:val="center"/>
              <w:textAlignment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15</w:t>
            </w:r>
          </w:p>
        </w:tc>
        <w:tc>
          <w:tcPr>
            <w:tcW w:w="551" w:type="dxa"/>
            <w:vMerge w:val="restart"/>
            <w:vAlign w:val="center"/>
          </w:tcPr>
          <w:p>
            <w:pPr>
              <w:jc w:val="center"/>
              <w:textAlignment w:val="center"/>
              <w:rPr>
                <w:rFonts w:cs="宋体"/>
                <w:szCs w:val="21"/>
              </w:rPr>
            </w:pPr>
            <w:r>
              <w:rPr>
                <w:rFonts w:hint="eastAsia" w:cs="宋体"/>
                <w:szCs w:val="21"/>
              </w:rPr>
              <w:t>密封圈</w:t>
            </w:r>
          </w:p>
        </w:tc>
        <w:tc>
          <w:tcPr>
            <w:tcW w:w="1080" w:type="dxa"/>
            <w:vMerge w:val="restart"/>
            <w:vAlign w:val="center"/>
          </w:tcPr>
          <w:p>
            <w:pPr>
              <w:jc w:val="center"/>
              <w:textAlignment w:val="center"/>
              <w:rPr>
                <w:rFonts w:cs="宋体"/>
                <w:szCs w:val="21"/>
              </w:rPr>
            </w:pPr>
            <w:r>
              <w:rPr>
                <w:rFonts w:hint="eastAsia" w:cs="宋体"/>
                <w:szCs w:val="21"/>
              </w:rPr>
              <w:t>锅体密封圈与食品接触部位</w:t>
            </w:r>
          </w:p>
        </w:tc>
        <w:tc>
          <w:tcPr>
            <w:tcW w:w="1800" w:type="dxa"/>
            <w:vAlign w:val="center"/>
          </w:tcPr>
          <w:p>
            <w:pPr>
              <w:jc w:val="center"/>
              <w:textAlignment w:val="center"/>
              <w:rPr>
                <w:rFonts w:cs="宋体"/>
                <w:szCs w:val="21"/>
              </w:rPr>
            </w:pPr>
            <w:r>
              <w:rPr>
                <w:rFonts w:hint="eastAsia" w:cs="宋体"/>
                <w:szCs w:val="21"/>
              </w:rPr>
              <w:t>感官</w:t>
            </w:r>
          </w:p>
        </w:tc>
        <w:tc>
          <w:tcPr>
            <w:tcW w:w="2700" w:type="dxa"/>
            <w:vAlign w:val="center"/>
          </w:tcPr>
          <w:p>
            <w:pPr>
              <w:jc w:val="center"/>
              <w:textAlignment w:val="center"/>
              <w:rPr>
                <w:rFonts w:cs="宋体"/>
                <w:szCs w:val="21"/>
              </w:rPr>
            </w:pPr>
            <w:r>
              <w:rPr>
                <w:rFonts w:cs="宋体"/>
                <w:szCs w:val="21"/>
              </w:rPr>
              <w:t>GB 4806.</w:t>
            </w:r>
            <w:r>
              <w:rPr>
                <w:rFonts w:hint="eastAsia" w:cs="宋体"/>
                <w:szCs w:val="21"/>
              </w:rPr>
              <w:t>11</w:t>
            </w:r>
          </w:p>
        </w:tc>
        <w:tc>
          <w:tcPr>
            <w:tcW w:w="2225" w:type="dxa"/>
            <w:vAlign w:val="center"/>
          </w:tcPr>
          <w:p>
            <w:pPr>
              <w:jc w:val="center"/>
              <w:textAlignment w:val="center"/>
              <w:rPr>
                <w:rFonts w:cs="宋体"/>
                <w:szCs w:val="21"/>
              </w:rPr>
            </w:pPr>
            <w:r>
              <w:rPr>
                <w:rFonts w:cs="宋体"/>
                <w:szCs w:val="21"/>
              </w:rPr>
              <w:t>GB 4806.</w:t>
            </w:r>
            <w:r>
              <w:rPr>
                <w:rFonts w:hint="eastAsia" w:cs="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16</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浸泡液</w:t>
            </w:r>
          </w:p>
        </w:tc>
        <w:tc>
          <w:tcPr>
            <w:tcW w:w="2700" w:type="dxa"/>
            <w:vAlign w:val="center"/>
          </w:tcPr>
          <w:p>
            <w:pPr>
              <w:jc w:val="center"/>
              <w:textAlignment w:val="center"/>
              <w:rPr>
                <w:rFonts w:cs="宋体"/>
                <w:szCs w:val="21"/>
              </w:rPr>
            </w:pPr>
            <w:r>
              <w:rPr>
                <w:rFonts w:cs="宋体"/>
                <w:szCs w:val="21"/>
              </w:rPr>
              <w:t>GB 4806.</w:t>
            </w:r>
            <w:r>
              <w:rPr>
                <w:rFonts w:hint="eastAsia" w:cs="宋体"/>
                <w:szCs w:val="21"/>
              </w:rPr>
              <w:t>11</w:t>
            </w:r>
          </w:p>
        </w:tc>
        <w:tc>
          <w:tcPr>
            <w:tcW w:w="2225" w:type="dxa"/>
            <w:vAlign w:val="center"/>
          </w:tcPr>
          <w:p>
            <w:pPr>
              <w:jc w:val="center"/>
              <w:textAlignment w:val="center"/>
              <w:rPr>
                <w:rFonts w:cs="宋体"/>
                <w:szCs w:val="21"/>
              </w:rPr>
            </w:pPr>
            <w:r>
              <w:rPr>
                <w:rFonts w:cs="宋体"/>
                <w:szCs w:val="21"/>
              </w:rPr>
              <w:t>GB 4806.</w:t>
            </w:r>
            <w:r>
              <w:rPr>
                <w:rFonts w:hint="eastAsia" w:cs="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17</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总迁移量</w:t>
            </w:r>
          </w:p>
        </w:tc>
        <w:tc>
          <w:tcPr>
            <w:tcW w:w="2700" w:type="dxa"/>
            <w:vAlign w:val="center"/>
          </w:tcPr>
          <w:p>
            <w:pPr>
              <w:jc w:val="center"/>
            </w:pPr>
            <w:r>
              <w:rPr>
                <w:rFonts w:cs="宋体"/>
                <w:szCs w:val="21"/>
              </w:rPr>
              <w:t>GB 4806.</w:t>
            </w:r>
            <w:r>
              <w:rPr>
                <w:rFonts w:hint="eastAsia" w:cs="宋体"/>
                <w:szCs w:val="21"/>
              </w:rPr>
              <w:t>11</w:t>
            </w:r>
          </w:p>
        </w:tc>
        <w:tc>
          <w:tcPr>
            <w:tcW w:w="2225" w:type="dxa"/>
            <w:vAlign w:val="center"/>
          </w:tcPr>
          <w:p>
            <w:pPr>
              <w:jc w:val="center"/>
              <w:textAlignment w:val="center"/>
              <w:rPr>
                <w:rFonts w:cs="宋体"/>
                <w:szCs w:val="21"/>
              </w:rPr>
            </w:pPr>
            <w:r>
              <w:rPr>
                <w:rFonts w:cs="宋体"/>
                <w:szCs w:val="21"/>
              </w:rPr>
              <w:t>GB 31604.8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18</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高锰酸钾消耗量</w:t>
            </w:r>
          </w:p>
        </w:tc>
        <w:tc>
          <w:tcPr>
            <w:tcW w:w="2700" w:type="dxa"/>
            <w:vAlign w:val="center"/>
          </w:tcPr>
          <w:p>
            <w:pPr>
              <w:jc w:val="center"/>
            </w:pPr>
            <w:r>
              <w:rPr>
                <w:rFonts w:cs="宋体"/>
                <w:szCs w:val="21"/>
              </w:rPr>
              <w:t>GB 4806.</w:t>
            </w:r>
            <w:r>
              <w:rPr>
                <w:rFonts w:hint="eastAsia" w:cs="宋体"/>
                <w:szCs w:val="21"/>
              </w:rPr>
              <w:t>11</w:t>
            </w:r>
          </w:p>
        </w:tc>
        <w:tc>
          <w:tcPr>
            <w:tcW w:w="2225" w:type="dxa"/>
            <w:vAlign w:val="center"/>
          </w:tcPr>
          <w:p>
            <w:pPr>
              <w:jc w:val="center"/>
              <w:textAlignment w:val="center"/>
              <w:rPr>
                <w:rFonts w:cs="宋体"/>
                <w:szCs w:val="21"/>
              </w:rPr>
            </w:pPr>
            <w:r>
              <w:rPr>
                <w:rFonts w:cs="宋体"/>
                <w:szCs w:val="21"/>
              </w:rPr>
              <w:t>GB 31604.2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19</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重金属（以Pb计）</w:t>
            </w:r>
          </w:p>
        </w:tc>
        <w:tc>
          <w:tcPr>
            <w:tcW w:w="2700" w:type="dxa"/>
            <w:vAlign w:val="center"/>
          </w:tcPr>
          <w:p>
            <w:pPr>
              <w:jc w:val="center"/>
            </w:pPr>
            <w:r>
              <w:rPr>
                <w:rFonts w:cs="宋体"/>
                <w:szCs w:val="21"/>
              </w:rPr>
              <w:t>GB 4806.</w:t>
            </w:r>
            <w:r>
              <w:rPr>
                <w:rFonts w:hint="eastAsia" w:cs="宋体"/>
                <w:szCs w:val="21"/>
              </w:rPr>
              <w:t>11</w:t>
            </w:r>
          </w:p>
        </w:tc>
        <w:tc>
          <w:tcPr>
            <w:tcW w:w="2225" w:type="dxa"/>
            <w:vAlign w:val="center"/>
          </w:tcPr>
          <w:p>
            <w:pPr>
              <w:jc w:val="center"/>
              <w:textAlignment w:val="center"/>
              <w:rPr>
                <w:rFonts w:cs="宋体"/>
                <w:szCs w:val="21"/>
              </w:rPr>
            </w:pPr>
            <w:r>
              <w:rPr>
                <w:rFonts w:cs="宋体"/>
                <w:szCs w:val="21"/>
              </w:rPr>
              <w:t>GB 31604.9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20</w:t>
            </w:r>
          </w:p>
        </w:tc>
        <w:tc>
          <w:tcPr>
            <w:tcW w:w="551" w:type="dxa"/>
            <w:vMerge w:val="continue"/>
            <w:vAlign w:val="center"/>
          </w:tcPr>
          <w:p>
            <w:pPr>
              <w:jc w:val="center"/>
              <w:textAlignment w:val="center"/>
              <w:rPr>
                <w:rFonts w:cs="宋体"/>
                <w:szCs w:val="21"/>
              </w:rPr>
            </w:pPr>
          </w:p>
        </w:tc>
        <w:tc>
          <w:tcPr>
            <w:tcW w:w="1080" w:type="dxa"/>
            <w:vMerge w:val="restart"/>
            <w:vAlign w:val="center"/>
          </w:tcPr>
          <w:p>
            <w:pPr>
              <w:jc w:val="center"/>
              <w:textAlignment w:val="center"/>
              <w:rPr>
                <w:rFonts w:cs="宋体"/>
                <w:szCs w:val="21"/>
              </w:rPr>
            </w:pPr>
            <w:r>
              <w:rPr>
                <w:rFonts w:cs="宋体"/>
                <w:szCs w:val="21"/>
              </w:rPr>
              <w:t>阀体密封圈</w:t>
            </w:r>
            <w:r>
              <w:rPr>
                <w:rFonts w:hint="eastAsia" w:cs="宋体"/>
                <w:szCs w:val="21"/>
              </w:rPr>
              <w:t>与食品接触部位</w:t>
            </w:r>
          </w:p>
        </w:tc>
        <w:tc>
          <w:tcPr>
            <w:tcW w:w="1800" w:type="dxa"/>
            <w:vAlign w:val="center"/>
          </w:tcPr>
          <w:p>
            <w:pPr>
              <w:jc w:val="center"/>
              <w:textAlignment w:val="center"/>
              <w:rPr>
                <w:rFonts w:cs="宋体"/>
                <w:szCs w:val="21"/>
              </w:rPr>
            </w:pPr>
            <w:r>
              <w:rPr>
                <w:rFonts w:hint="eastAsia" w:cs="宋体"/>
                <w:szCs w:val="21"/>
              </w:rPr>
              <w:t>感官要求</w:t>
            </w:r>
          </w:p>
        </w:tc>
        <w:tc>
          <w:tcPr>
            <w:tcW w:w="2700" w:type="dxa"/>
            <w:vAlign w:val="center"/>
          </w:tcPr>
          <w:p>
            <w:pPr>
              <w:jc w:val="center"/>
              <w:textAlignment w:val="center"/>
              <w:rPr>
                <w:rFonts w:cs="宋体"/>
                <w:szCs w:val="21"/>
              </w:rPr>
            </w:pPr>
            <w:r>
              <w:rPr>
                <w:rFonts w:cs="宋体"/>
                <w:szCs w:val="21"/>
              </w:rPr>
              <w:t>GB 4806.</w:t>
            </w:r>
            <w:r>
              <w:rPr>
                <w:rFonts w:hint="eastAsia" w:cs="宋体"/>
                <w:szCs w:val="21"/>
              </w:rPr>
              <w:t>11</w:t>
            </w:r>
          </w:p>
        </w:tc>
        <w:tc>
          <w:tcPr>
            <w:tcW w:w="2225" w:type="dxa"/>
            <w:vAlign w:val="center"/>
          </w:tcPr>
          <w:p>
            <w:pPr>
              <w:jc w:val="center"/>
              <w:textAlignment w:val="center"/>
              <w:rPr>
                <w:rFonts w:cs="宋体"/>
                <w:szCs w:val="21"/>
              </w:rPr>
            </w:pPr>
            <w:r>
              <w:rPr>
                <w:rFonts w:cs="宋体"/>
                <w:szCs w:val="21"/>
              </w:rPr>
              <w:t>GB 4806.</w:t>
            </w:r>
            <w:r>
              <w:rPr>
                <w:rFonts w:hint="eastAsia" w:cs="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22</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总迁移量</w:t>
            </w:r>
          </w:p>
        </w:tc>
        <w:tc>
          <w:tcPr>
            <w:tcW w:w="2700" w:type="dxa"/>
            <w:vAlign w:val="center"/>
          </w:tcPr>
          <w:p>
            <w:pPr>
              <w:jc w:val="center"/>
            </w:pPr>
            <w:r>
              <w:rPr>
                <w:rFonts w:cs="宋体"/>
                <w:szCs w:val="21"/>
              </w:rPr>
              <w:t>GB 4806.</w:t>
            </w:r>
            <w:r>
              <w:rPr>
                <w:rFonts w:hint="eastAsia" w:cs="宋体"/>
                <w:szCs w:val="21"/>
              </w:rPr>
              <w:t>11</w:t>
            </w:r>
          </w:p>
        </w:tc>
        <w:tc>
          <w:tcPr>
            <w:tcW w:w="2225" w:type="dxa"/>
            <w:vAlign w:val="center"/>
          </w:tcPr>
          <w:p>
            <w:pPr>
              <w:jc w:val="center"/>
              <w:textAlignment w:val="center"/>
              <w:rPr>
                <w:rFonts w:cs="宋体"/>
                <w:szCs w:val="21"/>
              </w:rPr>
            </w:pPr>
            <w:r>
              <w:rPr>
                <w:rFonts w:cs="宋体"/>
                <w:szCs w:val="21"/>
              </w:rPr>
              <w:t>GB 31604.8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23</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高锰酸钾消耗量</w:t>
            </w:r>
          </w:p>
        </w:tc>
        <w:tc>
          <w:tcPr>
            <w:tcW w:w="2700" w:type="dxa"/>
            <w:vAlign w:val="center"/>
          </w:tcPr>
          <w:p>
            <w:pPr>
              <w:jc w:val="center"/>
            </w:pPr>
            <w:r>
              <w:rPr>
                <w:rFonts w:cs="宋体"/>
                <w:szCs w:val="21"/>
              </w:rPr>
              <w:t>GB 4806.</w:t>
            </w:r>
            <w:r>
              <w:rPr>
                <w:rFonts w:hint="eastAsia" w:cs="宋体"/>
                <w:szCs w:val="21"/>
              </w:rPr>
              <w:t>11</w:t>
            </w:r>
          </w:p>
        </w:tc>
        <w:tc>
          <w:tcPr>
            <w:tcW w:w="2225" w:type="dxa"/>
            <w:vAlign w:val="center"/>
          </w:tcPr>
          <w:p>
            <w:pPr>
              <w:jc w:val="center"/>
              <w:textAlignment w:val="center"/>
              <w:rPr>
                <w:rFonts w:cs="宋体"/>
                <w:szCs w:val="21"/>
              </w:rPr>
            </w:pPr>
            <w:r>
              <w:rPr>
                <w:rFonts w:cs="宋体"/>
                <w:szCs w:val="21"/>
              </w:rPr>
              <w:t>GB 31604.2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hint="eastAsia" w:cs="宋体"/>
                <w:szCs w:val="21"/>
              </w:rPr>
            </w:pP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hint="eastAsia" w:cs="宋体"/>
                <w:szCs w:val="21"/>
              </w:rPr>
              <w:t>重金属（以Pb计）</w:t>
            </w:r>
          </w:p>
        </w:tc>
        <w:tc>
          <w:tcPr>
            <w:tcW w:w="2700" w:type="dxa"/>
            <w:vAlign w:val="center"/>
          </w:tcPr>
          <w:p>
            <w:pPr>
              <w:jc w:val="center"/>
            </w:pPr>
            <w:r>
              <w:rPr>
                <w:rFonts w:cs="宋体"/>
                <w:szCs w:val="21"/>
              </w:rPr>
              <w:t>GB 4806.</w:t>
            </w:r>
            <w:r>
              <w:rPr>
                <w:rFonts w:hint="eastAsia" w:cs="宋体"/>
                <w:szCs w:val="21"/>
              </w:rPr>
              <w:t>11</w:t>
            </w:r>
          </w:p>
        </w:tc>
        <w:tc>
          <w:tcPr>
            <w:tcW w:w="2225" w:type="dxa"/>
            <w:vAlign w:val="center"/>
          </w:tcPr>
          <w:p>
            <w:pPr>
              <w:jc w:val="center"/>
              <w:textAlignment w:val="center"/>
              <w:rPr>
                <w:rFonts w:cs="宋体"/>
                <w:szCs w:val="21"/>
              </w:rPr>
            </w:pPr>
            <w:r>
              <w:rPr>
                <w:rFonts w:cs="宋体"/>
                <w:szCs w:val="21"/>
              </w:rPr>
              <w:t>GB 31604.9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24</w:t>
            </w:r>
          </w:p>
        </w:tc>
        <w:tc>
          <w:tcPr>
            <w:tcW w:w="551" w:type="dxa"/>
            <w:vMerge w:val="continue"/>
            <w:vAlign w:val="center"/>
          </w:tcPr>
          <w:p>
            <w:pPr>
              <w:jc w:val="center"/>
              <w:textAlignment w:val="center"/>
              <w:rPr>
                <w:rFonts w:cs="宋体"/>
                <w:szCs w:val="21"/>
              </w:rPr>
            </w:pPr>
          </w:p>
        </w:tc>
        <w:tc>
          <w:tcPr>
            <w:tcW w:w="1080" w:type="dxa"/>
            <w:vMerge w:val="continue"/>
            <w:vAlign w:val="center"/>
          </w:tcPr>
          <w:p>
            <w:pPr>
              <w:jc w:val="center"/>
              <w:textAlignment w:val="center"/>
              <w:rPr>
                <w:rFonts w:cs="宋体"/>
                <w:szCs w:val="21"/>
              </w:rPr>
            </w:pPr>
          </w:p>
        </w:tc>
        <w:tc>
          <w:tcPr>
            <w:tcW w:w="1800" w:type="dxa"/>
            <w:vAlign w:val="center"/>
          </w:tcPr>
          <w:p>
            <w:pPr>
              <w:jc w:val="center"/>
              <w:textAlignment w:val="center"/>
              <w:rPr>
                <w:rFonts w:cs="宋体"/>
                <w:szCs w:val="21"/>
              </w:rPr>
            </w:pPr>
            <w:r>
              <w:rPr>
                <w:rFonts w:cs="宋体"/>
                <w:szCs w:val="21"/>
              </w:rPr>
              <w:t>脱色试验</w:t>
            </w:r>
          </w:p>
        </w:tc>
        <w:tc>
          <w:tcPr>
            <w:tcW w:w="2700" w:type="dxa"/>
            <w:vAlign w:val="center"/>
          </w:tcPr>
          <w:p>
            <w:pPr>
              <w:jc w:val="center"/>
            </w:pPr>
            <w:r>
              <w:rPr>
                <w:rFonts w:cs="宋体"/>
                <w:szCs w:val="21"/>
              </w:rPr>
              <w:t>GB 4806.</w:t>
            </w:r>
            <w:r>
              <w:rPr>
                <w:rFonts w:hint="eastAsia" w:cs="宋体"/>
                <w:szCs w:val="21"/>
              </w:rPr>
              <w:t>7</w:t>
            </w:r>
          </w:p>
        </w:tc>
        <w:tc>
          <w:tcPr>
            <w:tcW w:w="2225" w:type="dxa"/>
            <w:vAlign w:val="center"/>
          </w:tcPr>
          <w:p>
            <w:pPr>
              <w:snapToGrid w:val="0"/>
              <w:jc w:val="center"/>
              <w:rPr>
                <w:rFonts w:cs="宋体"/>
                <w:szCs w:val="21"/>
              </w:rPr>
            </w:pPr>
            <w:r>
              <w:rPr>
                <w:rFonts w:hint="eastAsia" w:cs="宋体"/>
                <w:szCs w:val="21"/>
              </w:rPr>
              <w:t>GB 31604.7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25</w:t>
            </w:r>
          </w:p>
        </w:tc>
        <w:tc>
          <w:tcPr>
            <w:tcW w:w="3431" w:type="dxa"/>
            <w:gridSpan w:val="3"/>
            <w:vAlign w:val="center"/>
          </w:tcPr>
          <w:p>
            <w:pPr>
              <w:jc w:val="center"/>
              <w:textAlignment w:val="center"/>
              <w:rPr>
                <w:rFonts w:cs="宋体"/>
                <w:szCs w:val="21"/>
              </w:rPr>
            </w:pPr>
            <w:r>
              <w:rPr>
                <w:rFonts w:hint="eastAsia" w:cs="宋体"/>
                <w:szCs w:val="21"/>
              </w:rPr>
              <w:t>泄压压力</w:t>
            </w:r>
          </w:p>
        </w:tc>
        <w:tc>
          <w:tcPr>
            <w:tcW w:w="2700" w:type="dxa"/>
            <w:vAlign w:val="center"/>
          </w:tcPr>
          <w:p>
            <w:pPr>
              <w:jc w:val="center"/>
              <w:rPr>
                <w:rFonts w:cs="宋体"/>
                <w:szCs w:val="21"/>
              </w:rPr>
            </w:pPr>
            <w:r>
              <w:rPr>
                <w:rFonts w:hint="eastAsia" w:cs="宋体"/>
                <w:szCs w:val="21"/>
              </w:rPr>
              <w:t>GB 13623</w:t>
            </w:r>
          </w:p>
        </w:tc>
        <w:tc>
          <w:tcPr>
            <w:tcW w:w="2225" w:type="dxa"/>
            <w:vAlign w:val="center"/>
          </w:tcPr>
          <w:p>
            <w:pPr>
              <w:jc w:val="center"/>
              <w:textAlignment w:val="center"/>
              <w:rPr>
                <w:rFonts w:cs="宋体"/>
                <w:szCs w:val="21"/>
              </w:rPr>
            </w:pPr>
            <w:r>
              <w:rPr>
                <w:rFonts w:hint="eastAsia" w:cs="宋体"/>
                <w:szCs w:val="21"/>
              </w:rPr>
              <w:t>GB 13623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textAlignment w:val="center"/>
              <w:rPr>
                <w:rFonts w:cs="宋体"/>
                <w:szCs w:val="21"/>
              </w:rPr>
            </w:pPr>
            <w:r>
              <w:rPr>
                <w:rFonts w:hint="eastAsia" w:cs="宋体"/>
                <w:szCs w:val="21"/>
              </w:rPr>
              <w:t>26</w:t>
            </w:r>
          </w:p>
        </w:tc>
        <w:tc>
          <w:tcPr>
            <w:tcW w:w="3431" w:type="dxa"/>
            <w:gridSpan w:val="3"/>
            <w:vAlign w:val="center"/>
          </w:tcPr>
          <w:p>
            <w:pPr>
              <w:jc w:val="center"/>
              <w:textAlignment w:val="center"/>
              <w:rPr>
                <w:rFonts w:cs="宋体"/>
                <w:szCs w:val="21"/>
              </w:rPr>
            </w:pPr>
            <w:r>
              <w:rPr>
                <w:rFonts w:hint="eastAsia" w:cs="宋体"/>
                <w:szCs w:val="21"/>
              </w:rPr>
              <w:t>破坏压力</w:t>
            </w:r>
          </w:p>
        </w:tc>
        <w:tc>
          <w:tcPr>
            <w:tcW w:w="2700" w:type="dxa"/>
            <w:vAlign w:val="center"/>
          </w:tcPr>
          <w:p>
            <w:pPr>
              <w:jc w:val="center"/>
              <w:rPr>
                <w:rFonts w:cs="宋体"/>
                <w:szCs w:val="21"/>
              </w:rPr>
            </w:pPr>
            <w:r>
              <w:rPr>
                <w:rFonts w:hint="eastAsia" w:cs="宋体"/>
                <w:szCs w:val="21"/>
              </w:rPr>
              <w:t>GB 13623</w:t>
            </w:r>
          </w:p>
        </w:tc>
        <w:tc>
          <w:tcPr>
            <w:tcW w:w="2225" w:type="dxa"/>
            <w:vAlign w:val="center"/>
          </w:tcPr>
          <w:p>
            <w:pPr>
              <w:jc w:val="center"/>
              <w:textAlignment w:val="center"/>
              <w:rPr>
                <w:rFonts w:cs="宋体"/>
                <w:szCs w:val="21"/>
              </w:rPr>
            </w:pPr>
            <w:r>
              <w:rPr>
                <w:rFonts w:hint="eastAsia" w:cs="宋体"/>
                <w:szCs w:val="21"/>
              </w:rPr>
              <w:t>GB 13623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gridSpan w:val="6"/>
            <w:vAlign w:val="center"/>
          </w:tcPr>
          <w:p>
            <w:pPr>
              <w:textAlignment w:val="center"/>
              <w:rPr>
                <w:rFonts w:hint="eastAsia" w:cs="宋体"/>
                <w:szCs w:val="21"/>
              </w:rPr>
            </w:pPr>
            <w:r>
              <w:rPr>
                <w:rFonts w:cs="宋体"/>
                <w:szCs w:val="21"/>
              </w:rPr>
              <w:t>备注：</w:t>
            </w:r>
            <w:r>
              <w:rPr>
                <w:rFonts w:hint="eastAsia" w:cs="宋体"/>
                <w:szCs w:val="21"/>
              </w:rPr>
              <w:t>1、</w:t>
            </w:r>
            <w:r>
              <w:rPr>
                <w:rFonts w:cs="宋体"/>
                <w:szCs w:val="21"/>
              </w:rPr>
              <w:t>脱色试验仅适用于含着色剂的塑料产品；</w:t>
            </w:r>
          </w:p>
          <w:p>
            <w:pPr>
              <w:tabs>
                <w:tab w:val="left" w:pos="633"/>
                <w:tab w:val="left" w:pos="2552"/>
                <w:tab w:val="left" w:pos="4471"/>
                <w:tab w:val="left" w:pos="6172"/>
              </w:tabs>
              <w:adjustRightInd w:val="0"/>
              <w:snapToGrid w:val="0"/>
              <w:ind w:firstLine="630" w:firstLineChars="300"/>
              <w:jc w:val="left"/>
              <w:rPr>
                <w:rFonts w:hint="eastAsia" w:ascii="宋体" w:hAnsi="宋体"/>
                <w:szCs w:val="21"/>
              </w:rPr>
            </w:pPr>
            <w:r>
              <w:rPr>
                <w:rFonts w:hint="eastAsia" w:ascii="宋体" w:hAnsi="宋体"/>
                <w:szCs w:val="21"/>
              </w:rPr>
              <w:t>2、马氏体型不锈钢材料及制品不检测铬指标；</w:t>
            </w:r>
          </w:p>
          <w:p>
            <w:pPr>
              <w:tabs>
                <w:tab w:val="left" w:pos="633"/>
                <w:tab w:val="left" w:pos="2552"/>
                <w:tab w:val="left" w:pos="4471"/>
                <w:tab w:val="left" w:pos="6172"/>
              </w:tabs>
              <w:adjustRightInd w:val="0"/>
              <w:snapToGrid w:val="0"/>
              <w:ind w:firstLine="630" w:firstLineChars="300"/>
              <w:jc w:val="left"/>
              <w:rPr>
                <w:rFonts w:ascii="宋体" w:hAnsi="宋体"/>
                <w:szCs w:val="21"/>
              </w:rPr>
            </w:pPr>
            <w:r>
              <w:rPr>
                <w:rFonts w:hint="eastAsia" w:ascii="宋体" w:hAnsi="宋体"/>
                <w:szCs w:val="21"/>
              </w:rPr>
              <w:t>3、</w:t>
            </w:r>
            <w:r>
              <w:rPr>
                <w:rFonts w:hint="eastAsia" w:ascii="宋体" w:hAnsi="宋体" w:cs="仿宋_GB2312"/>
                <w:szCs w:val="21"/>
              </w:rPr>
              <w:t>接触婴幼儿食品的橡胶材料及制品应根据实际使用中的面积体积比将结果换算为mg/kg，且限量≤60 mg/kg。</w:t>
            </w:r>
          </w:p>
        </w:tc>
      </w:tr>
    </w:tbl>
    <w:p>
      <w:pPr>
        <w:tabs>
          <w:tab w:val="left" w:pos="633"/>
          <w:tab w:val="left" w:pos="2552"/>
          <w:tab w:val="left" w:pos="4471"/>
          <w:tab w:val="left" w:pos="6172"/>
        </w:tabs>
        <w:adjustRightInd w:val="0"/>
        <w:snapToGrid w:val="0"/>
        <w:spacing w:line="360" w:lineRule="auto"/>
        <w:ind w:firstLine="420" w:firstLineChars="200"/>
        <w:jc w:val="left"/>
        <w:rPr>
          <w:rFonts w:ascii="宋体" w:hAnsi="宋体"/>
          <w:szCs w:val="21"/>
        </w:rPr>
      </w:pPr>
      <w:r>
        <w:rPr>
          <w:rFonts w:hint="eastAsia" w:ascii="宋体" w:hAnsi="宋体"/>
          <w:szCs w:val="21"/>
        </w:rPr>
        <w:t>凡是注日期的文件，其随后所有的修改单（不包括勘误的内容）或修订版不适用于本细则。凡是不注日期的文件，其最新版本适用于本细则。</w:t>
      </w:r>
    </w:p>
    <w:p>
      <w:pPr>
        <w:snapToGrid w:val="0"/>
        <w:spacing w:line="360" w:lineRule="auto"/>
        <w:rPr>
          <w:b/>
          <w:sz w:val="24"/>
        </w:rPr>
      </w:pPr>
      <w:r>
        <w:rPr>
          <w:rFonts w:hint="eastAsia"/>
          <w:b/>
          <w:sz w:val="24"/>
        </w:rPr>
        <w:t>3、判定规则</w:t>
      </w:r>
    </w:p>
    <w:p>
      <w:pPr>
        <w:snapToGrid w:val="0"/>
        <w:spacing w:line="440" w:lineRule="exact"/>
        <w:rPr>
          <w:rFonts w:ascii="宋体" w:hAnsi="宋体"/>
          <w:szCs w:val="21"/>
        </w:rPr>
      </w:pPr>
      <w:r>
        <w:rPr>
          <w:rFonts w:hint="eastAsia" w:ascii="宋体" w:hAnsi="宋体"/>
          <w:szCs w:val="21"/>
        </w:rPr>
        <w:t>3.1 依据标准</w:t>
      </w:r>
    </w:p>
    <w:p>
      <w:pPr>
        <w:snapToGrid w:val="0"/>
        <w:spacing w:line="440" w:lineRule="exact"/>
        <w:ind w:firstLine="420" w:firstLineChars="200"/>
        <w:rPr>
          <w:rFonts w:ascii="宋体" w:hAnsi="宋体"/>
          <w:szCs w:val="21"/>
        </w:rPr>
      </w:pPr>
      <w:r>
        <w:rPr>
          <w:rFonts w:ascii="宋体" w:hAnsi="宋体"/>
          <w:szCs w:val="21"/>
        </w:rPr>
        <w:t>GB 4806.9-2016</w:t>
      </w:r>
      <w:r>
        <w:rPr>
          <w:rFonts w:hint="eastAsia" w:ascii="宋体" w:hAnsi="宋体"/>
          <w:szCs w:val="21"/>
        </w:rPr>
        <w:t xml:space="preserve"> 食品安全国家标准</w:t>
      </w:r>
      <w:r>
        <w:rPr>
          <w:rFonts w:ascii="宋体" w:hAnsi="宋体"/>
          <w:szCs w:val="21"/>
        </w:rPr>
        <w:t xml:space="preserve"> </w:t>
      </w:r>
      <w:r>
        <w:rPr>
          <w:rFonts w:hint="eastAsia" w:ascii="宋体" w:hAnsi="宋体"/>
          <w:szCs w:val="21"/>
        </w:rPr>
        <w:t>食品接触用金属材料及制品</w:t>
      </w:r>
    </w:p>
    <w:p>
      <w:pPr>
        <w:snapToGrid w:val="0"/>
        <w:spacing w:line="440" w:lineRule="exact"/>
        <w:ind w:firstLine="420" w:firstLineChars="200"/>
        <w:rPr>
          <w:rFonts w:ascii="宋体" w:hAnsi="宋体"/>
          <w:szCs w:val="21"/>
        </w:rPr>
      </w:pPr>
      <w:r>
        <w:rPr>
          <w:rFonts w:ascii="宋体" w:hAnsi="宋体"/>
          <w:szCs w:val="21"/>
        </w:rPr>
        <w:t>GB 4806.9-20</w:t>
      </w:r>
      <w:r>
        <w:rPr>
          <w:rFonts w:hint="eastAsia" w:ascii="宋体" w:hAnsi="宋体"/>
          <w:szCs w:val="21"/>
        </w:rPr>
        <w:t>23 食品安全国家标准</w:t>
      </w:r>
      <w:r>
        <w:rPr>
          <w:rFonts w:ascii="宋体" w:hAnsi="宋体"/>
          <w:szCs w:val="21"/>
        </w:rPr>
        <w:t xml:space="preserve"> </w:t>
      </w:r>
      <w:r>
        <w:rPr>
          <w:rFonts w:hint="eastAsia" w:ascii="宋体" w:hAnsi="宋体"/>
          <w:szCs w:val="21"/>
        </w:rPr>
        <w:t>食品接触用金属材料及制品</w:t>
      </w:r>
    </w:p>
    <w:p>
      <w:pPr>
        <w:snapToGrid w:val="0"/>
        <w:spacing w:line="440" w:lineRule="exact"/>
        <w:ind w:firstLine="420" w:firstLineChars="200"/>
        <w:rPr>
          <w:rFonts w:ascii="宋体" w:hAnsi="宋体"/>
          <w:szCs w:val="21"/>
        </w:rPr>
      </w:pPr>
      <w:r>
        <w:rPr>
          <w:rFonts w:ascii="宋体" w:hAnsi="宋体"/>
          <w:szCs w:val="21"/>
        </w:rPr>
        <w:t>GB 4806.11-2016</w:t>
      </w:r>
      <w:r>
        <w:rPr>
          <w:rFonts w:hint="eastAsia" w:ascii="宋体" w:hAnsi="宋体"/>
          <w:szCs w:val="21"/>
        </w:rPr>
        <w:t xml:space="preserve"> 食品安全国家标准</w:t>
      </w:r>
      <w:r>
        <w:rPr>
          <w:rFonts w:ascii="宋体" w:hAnsi="宋体"/>
          <w:szCs w:val="21"/>
        </w:rPr>
        <w:t xml:space="preserve"> </w:t>
      </w:r>
      <w:r>
        <w:rPr>
          <w:rFonts w:hint="eastAsia" w:ascii="宋体" w:hAnsi="宋体"/>
          <w:szCs w:val="21"/>
        </w:rPr>
        <w:t>食品接触用橡胶材料及制品</w:t>
      </w:r>
    </w:p>
    <w:p>
      <w:pPr>
        <w:snapToGrid w:val="0"/>
        <w:spacing w:line="440" w:lineRule="exact"/>
        <w:ind w:firstLine="420" w:firstLineChars="200"/>
        <w:rPr>
          <w:rFonts w:ascii="宋体" w:hAnsi="宋体"/>
          <w:szCs w:val="21"/>
        </w:rPr>
      </w:pPr>
      <w:r>
        <w:rPr>
          <w:rFonts w:hint="eastAsia" w:ascii="宋体" w:hAnsi="宋体"/>
          <w:szCs w:val="21"/>
        </w:rPr>
        <w:t>现行有效的企业标准、团体标准、地方标准及产品明示质量要求</w:t>
      </w:r>
    </w:p>
    <w:p>
      <w:pPr>
        <w:snapToGrid w:val="0"/>
        <w:spacing w:line="440" w:lineRule="exact"/>
        <w:outlineLvl w:val="0"/>
        <w:rPr>
          <w:rFonts w:ascii="宋体" w:hAnsi="宋体"/>
          <w:szCs w:val="21"/>
        </w:rPr>
      </w:pPr>
      <w:r>
        <w:rPr>
          <w:rFonts w:hint="eastAsia" w:ascii="宋体" w:hAnsi="宋体"/>
          <w:szCs w:val="21"/>
        </w:rPr>
        <w:t>3.2判定原则</w:t>
      </w:r>
    </w:p>
    <w:p>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440" w:lineRule="exact"/>
        <w:ind w:firstLine="420" w:firstLineChars="200"/>
        <w:rPr>
          <w:rFonts w:ascii="宋体" w:hAnsi="宋体"/>
        </w:rPr>
      </w:pPr>
      <w:r>
        <w:rPr>
          <w:rFonts w:hint="eastAsia" w:ascii="宋体" w:hAnsi="宋体"/>
        </w:rPr>
        <w:t>按照产品质量相关法律法规的规定判定。</w:t>
      </w:r>
    </w:p>
    <w:p>
      <w:pPr>
        <w:snapToGrid w:val="0"/>
        <w:spacing w:line="440" w:lineRule="exact"/>
        <w:ind w:firstLine="420" w:firstLineChars="200"/>
        <w:rPr>
          <w:rFonts w:ascii="黑体" w:hAnsi="宋体" w:eastAsia="黑体"/>
          <w:szCs w:val="21"/>
        </w:rPr>
      </w:pPr>
      <w:r>
        <w:rPr>
          <w:rFonts w:hint="eastAsia" w:ascii="宋体" w:hAnsi="宋体"/>
        </w:rPr>
        <w:t>检验中发现因样品失效或者其他原因致使检验无法进行的，检验人员应如实记录，并提供相关证明材料，报送组织监督抽查的市场监管部门</w:t>
      </w:r>
      <w:r>
        <w:rPr>
          <w:rFonts w:hint="eastAsia" w:ascii="宋体" w:hAnsi="宋体"/>
          <w:color w:val="000000"/>
          <w:szCs w:val="21"/>
        </w:rPr>
        <w:t>。</w:t>
      </w:r>
    </w:p>
    <w:p>
      <w:pPr>
        <w:spacing w:line="360" w:lineRule="auto"/>
      </w:pPr>
    </w:p>
    <w:p>
      <w:pPr>
        <w:spacing w:line="360" w:lineRule="auto"/>
        <w:ind w:firstLine="420" w:firstLineChars="200"/>
        <w:rPr>
          <w:rFonts w:ascii="宋体" w:hAnsi="宋体"/>
          <w:color w:val="000000"/>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3193391"/>
    </w:sdtPr>
    <w:sdtContent>
      <w:p>
        <w:pPr>
          <w:pStyle w:val="3"/>
          <w:jc w:val="right"/>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yMzRhYzgzYmRiOTFiZmEzNTY0YWJmNzU0NWNhZjMifQ=="/>
  </w:docVars>
  <w:rsids>
    <w:rsidRoot w:val="00AC5C05"/>
    <w:rsid w:val="000460F6"/>
    <w:rsid w:val="0008128C"/>
    <w:rsid w:val="000D4FF6"/>
    <w:rsid w:val="00196683"/>
    <w:rsid w:val="001C4A36"/>
    <w:rsid w:val="001D5F10"/>
    <w:rsid w:val="0021536D"/>
    <w:rsid w:val="002953A1"/>
    <w:rsid w:val="002F0832"/>
    <w:rsid w:val="00346759"/>
    <w:rsid w:val="003E4848"/>
    <w:rsid w:val="003E7F9A"/>
    <w:rsid w:val="00462913"/>
    <w:rsid w:val="004671F3"/>
    <w:rsid w:val="004D2989"/>
    <w:rsid w:val="005E7993"/>
    <w:rsid w:val="00645BE2"/>
    <w:rsid w:val="00677C35"/>
    <w:rsid w:val="00692C8C"/>
    <w:rsid w:val="00746898"/>
    <w:rsid w:val="00777B43"/>
    <w:rsid w:val="007E34C1"/>
    <w:rsid w:val="00805B70"/>
    <w:rsid w:val="008248E8"/>
    <w:rsid w:val="00923971"/>
    <w:rsid w:val="0093772B"/>
    <w:rsid w:val="00971869"/>
    <w:rsid w:val="009F6F40"/>
    <w:rsid w:val="00A93B25"/>
    <w:rsid w:val="00AB46E6"/>
    <w:rsid w:val="00AC5C05"/>
    <w:rsid w:val="00B05E77"/>
    <w:rsid w:val="00B10B0F"/>
    <w:rsid w:val="00B3129D"/>
    <w:rsid w:val="00C11B68"/>
    <w:rsid w:val="00C32A7F"/>
    <w:rsid w:val="00C8569A"/>
    <w:rsid w:val="00CC1F76"/>
    <w:rsid w:val="00D40462"/>
    <w:rsid w:val="00D87697"/>
    <w:rsid w:val="00D954E8"/>
    <w:rsid w:val="00E26AA6"/>
    <w:rsid w:val="00E55109"/>
    <w:rsid w:val="00EB0311"/>
    <w:rsid w:val="00F16AA0"/>
    <w:rsid w:val="00F53523"/>
    <w:rsid w:val="00FD1594"/>
    <w:rsid w:val="23723CEC"/>
    <w:rsid w:val="3C85427F"/>
    <w:rsid w:val="41EF50B3"/>
    <w:rsid w:val="5C1D14D8"/>
    <w:rsid w:val="5D7F5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b/>
      <w:sz w:val="18"/>
      <w:szCs w:val="18"/>
    </w:rPr>
  </w:style>
  <w:style w:type="paragraph" w:styleId="3">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2"/>
    <w:basedOn w:val="1"/>
    <w:autoRedefine/>
    <w:unhideWhenUsed/>
    <w:qFormat/>
    <w:uiPriority w:val="0"/>
    <w:pPr>
      <w:spacing w:after="120" w:line="480" w:lineRule="auto"/>
    </w:pPr>
  </w:style>
  <w:style w:type="character" w:customStyle="1" w:styleId="8">
    <w:name w:val="页眉 Char"/>
    <w:basedOn w:val="7"/>
    <w:link w:val="4"/>
    <w:autoRedefine/>
    <w:qFormat/>
    <w:uiPriority w:val="0"/>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qFormat/>
    <w:uiPriority w:val="0"/>
    <w:rPr>
      <w:rFonts w:ascii="Times New Roman" w:hAnsi="Times New Roman" w:eastAsia="宋体" w:cs="Times New Roman"/>
      <w:b/>
      <w:sz w:val="18"/>
      <w:szCs w:val="18"/>
    </w:rPr>
  </w:style>
  <w:style w:type="paragraph" w:customStyle="1" w:styleId="11">
    <w:name w:val="纯文本1"/>
    <w:basedOn w:val="1"/>
    <w:autoRedefine/>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299</Words>
  <Characters>1707</Characters>
  <Lines>14</Lines>
  <Paragraphs>4</Paragraphs>
  <TotalTime>175</TotalTime>
  <ScaleCrop>false</ScaleCrop>
  <LinksUpToDate>false</LinksUpToDate>
  <CharactersWithSpaces>2002</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2019-07-12T00:39:00Z</dcterms:created>
  <dc:creator>陈卓辉</dc:creator>
  <cp:lastModifiedBy>孙小苓</cp:lastModifiedBy>
  <dcterms:modified xsi:type="dcterms:W3CDTF">2024-08-13T07:23:54Z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40C0F817F2C248C5B79677DF09138D33_12</vt:lpwstr>
  </property>
</Properties>
</file>