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725B">
      <w:pPr>
        <w:spacing w:line="480" w:lineRule="exact"/>
        <w:jc w:val="left"/>
        <w:outlineLvl w:val="0"/>
        <w:rPr>
          <w:rFonts w:hint="eastAsia" w:ascii="黑体" w:hAnsi="黑体" w:eastAsia="方正黑体_GBK"/>
          <w:sz w:val="32"/>
          <w:szCs w:val="32"/>
          <w:lang w:val="en-US" w:eastAsia="zh-CN"/>
        </w:rPr>
      </w:pPr>
      <w:r>
        <w:rPr>
          <w:rFonts w:hint="eastAsia" w:ascii="黑体" w:hAnsi="黑体" w:eastAsia="方正黑体_GBK"/>
          <w:sz w:val="32"/>
          <w:szCs w:val="32"/>
        </w:rPr>
        <w:t>附件</w:t>
      </w:r>
      <w:r>
        <w:rPr>
          <w:rFonts w:hint="eastAsia" w:ascii="黑体" w:hAnsi="黑体" w:eastAsia="方正黑体_GBK"/>
          <w:sz w:val="32"/>
          <w:szCs w:val="32"/>
          <w:lang w:val="en-US" w:eastAsia="zh-CN"/>
        </w:rPr>
        <w:t>3</w:t>
      </w:r>
    </w:p>
    <w:p w14:paraId="2478272A">
      <w:pPr>
        <w:spacing w:line="480" w:lineRule="exact"/>
        <w:jc w:val="left"/>
        <w:outlineLvl w:val="0"/>
        <w:rPr>
          <w:rFonts w:hint="eastAsia" w:ascii="黑体" w:hAnsi="黑体" w:eastAsia="方正黑体_GBK"/>
          <w:sz w:val="32"/>
          <w:szCs w:val="32"/>
          <w:lang w:val="en-US" w:eastAsia="zh-CN"/>
        </w:rPr>
      </w:pPr>
    </w:p>
    <w:p w14:paraId="3509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参与诚信承诺函</w:t>
      </w:r>
    </w:p>
    <w:p w14:paraId="2B61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</w:rPr>
      </w:pPr>
    </w:p>
    <w:p w14:paraId="3EDD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</w:rPr>
        <w:t>本单位自愿参加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2024年江门市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支持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电动自行车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以旧换新促消费活动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了解并遵守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活动的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规则要求，并承诺以下事项：</w:t>
      </w:r>
    </w:p>
    <w:p w14:paraId="21A2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本单位为在江门市登记注册、取得营业执照并主营电动自行车销售商家，近三年内无重大违法违规和失信记录。</w:t>
      </w:r>
    </w:p>
    <w:p w14:paraId="547C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二、本单位具备健全的财务管理制度，使用对公账户进行电动自行车销售收款。</w:t>
      </w:r>
    </w:p>
    <w:p w14:paraId="6151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三、本单位具备与活动服务机构对接的能力，按要求布设活动所需的统一收银设备。</w:t>
      </w:r>
    </w:p>
    <w:p w14:paraId="4EF0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四、本单位具备电动自行车回收服务功能，承诺把回收的废旧电动自行车交予正规拆解企业。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加强销售网点现场管理，杜绝商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店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内出现非法中介人员或驻店厂商人员向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电动自行车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购买人兜售旧机或凭证。</w:t>
      </w:r>
    </w:p>
    <w:p w14:paraId="2FD0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五、本单位具备开具销售发票的能力，按照含税销售价格开具销售发票，发票涉及购买人信息、新电动自行车产品等各项信息如实、准确、规范填写。留存活动中所有销售电动自行车的发票、消费小票等票据，以备核查。</w:t>
      </w:r>
    </w:p>
    <w:p w14:paraId="0917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六、本单位具备活动宣传和处理消费者咨询、投诉的能力，将多渠道、准确地向消费者介绍政策使用情况，不误导、欺骗消费者，不乘机哄抬价格、变相涨价，不强制捆绑、搭售等，不虚假交易、骗补套补。如有违反上述承诺的情况，经有关单位查实，自愿接受取消参与活动资格的处理。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按要求布放活动宣传物料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提供不少于1种宣传物料支持，如海报、收银台台卡等。配套开展让利促销活动，扩大活动效果。</w:t>
      </w:r>
    </w:p>
    <w:p w14:paraId="77B5D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积极配合国家、省、市等有关部门提供相关活动审计材料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包括旧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电动自行车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回收凭证、购买人姓名、身份证件号码、手机号码，交易订单小票、新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电动自行车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发票、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新电动自行车合格证照片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等。确保购买新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电动自行车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的发票金额与该笔订单交易的金额一致。</w:t>
      </w:r>
    </w:p>
    <w:p w14:paraId="2DD9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outlineLvl w:val="1"/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真实、准确提供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val="en-US" w:eastAsia="zh-CN"/>
        </w:rPr>
        <w:t>商品编码信息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，包括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新车品牌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新车车架号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新车电池编号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电池类型、新车合格证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val="en-US" w:eastAsia="zh-CN"/>
        </w:rPr>
        <w:t>由于我单位提供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</w:rPr>
        <w:t>信息不符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val="en-US" w:eastAsia="zh-CN"/>
        </w:rPr>
        <w:t>错误、失真等造成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val="en-US" w:eastAsia="zh-CN"/>
        </w:rPr>
        <w:t>有关责任和资金损失，由我单位自行承担</w:t>
      </w:r>
      <w:r>
        <w:rPr>
          <w:rFonts w:hint="eastAsia" w:ascii="Times New Roman" w:hAnsi="Times New Roman" w:eastAsia="方正仿宋_GBK" w:cs="仿宋_GB2312"/>
          <w:b/>
          <w:bCs/>
          <w:color w:val="auto"/>
          <w:sz w:val="32"/>
          <w:szCs w:val="32"/>
          <w:lang w:eastAsia="zh-CN"/>
        </w:rPr>
        <w:t>。</w:t>
      </w:r>
    </w:p>
    <w:p w14:paraId="733FB8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诚信经营，保证商品质量和服务质量，杜绝假冒伪劣、以次充好、以旧充新的产品进入市场流通。主动制止任何方式套取财政资金的违反活动规则、恶意骗取优惠的行为。</w:t>
      </w:r>
    </w:p>
    <w:p w14:paraId="62019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、主办方有权通过后台技术手段监测营销活动实施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，如发现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参与活动骗取、套利等行为，主办方有权随时终止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参与活动资格并追回骗取的优惠资金。具体判定依据和结果以主办方认定为准。</w:t>
      </w:r>
      <w:bookmarkStart w:id="0" w:name="_GoBack"/>
      <w:bookmarkEnd w:id="0"/>
    </w:p>
    <w:p w14:paraId="5F14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十一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、因本单位提供的服务及产品问题引发的用户投诉、处理和争议等，应由本单位自行负责解决，主办方不承担任何责任。</w:t>
      </w:r>
    </w:p>
    <w:p w14:paraId="370679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</w:p>
    <w:p w14:paraId="432C46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</w:p>
    <w:p w14:paraId="1BC622B7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负责人（签字）：           单位名称（盖章）：</w:t>
      </w:r>
    </w:p>
    <w:p w14:paraId="2E5E547E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B141C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right"/>
        <w:textAlignment w:val="auto"/>
        <w:outlineLvl w:val="1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8D49D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right"/>
        <w:textAlignment w:val="auto"/>
        <w:outlineLvl w:val="1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2024年  月  日   </w:t>
      </w:r>
    </w:p>
    <w:p w14:paraId="72AA66B9">
      <w:pPr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35DC4D06"/>
    <w:rsid w:val="35DC4D06"/>
    <w:rsid w:val="37DCA66A"/>
    <w:rsid w:val="4817647F"/>
    <w:rsid w:val="7796726D"/>
    <w:rsid w:val="D7E56A33"/>
    <w:rsid w:val="E47FC936"/>
    <w:rsid w:val="E77EBE58"/>
    <w:rsid w:val="EDCB9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1008</Characters>
  <Lines>0</Lines>
  <Paragraphs>0</Paragraphs>
  <TotalTime>17</TotalTime>
  <ScaleCrop>false</ScaleCrop>
  <LinksUpToDate>false</LinksUpToDate>
  <CharactersWithSpaces>1026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2024-09-13T08:09:00Z</dcterms:created>
  <dc:creator>张皓宇</dc:creator>
  <cp:lastModifiedBy>张皓宇</cp:lastModifiedBy>
  <cp:lastPrinted>2024-09-13T08:09:00Z</cp:lastPrinted>
  <dcterms:modified xsi:type="dcterms:W3CDTF">2024-09-23T09:21:54Z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7AA82846499767B3DF39ED66CF08042F</vt:lpwstr>
  </property>
</Properties>
</file>