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032" w:rightChars="1260"/>
        <w:rPr>
          <w:rFonts w:hint="eastAsia" w:ascii="仿宋_GB2312" w:hAnsi="宋体" w:eastAsia="黑体" w:cs="宋体"/>
          <w:bCs/>
          <w:kern w:val="0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Cs w:val="32"/>
          <w:lang w:val="en-US" w:eastAsia="zh-CN"/>
        </w:rPr>
        <w:t>1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鹤山市物业服务企业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评分表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住房和城乡建设局 满分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物业服务企业：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服务项目个数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 xml:space="preserve"> </w:t>
      </w:r>
    </w:p>
    <w:p>
      <w:pPr>
        <w:rPr>
          <w:rFonts w:hint="eastAsia" w:ascii="宋体" w:hAnsi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>服务项目名称（小区名称）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</w:t>
      </w:r>
    </w:p>
    <w:tbl>
      <w:tblPr>
        <w:tblStyle w:val="2"/>
        <w:tblW w:w="9371" w:type="dxa"/>
        <w:tblInd w:w="-1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5605"/>
        <w:gridCol w:w="850"/>
        <w:gridCol w:w="1418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评价内容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规定分值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评分标准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考核评分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1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</w:rPr>
              <w:t>物业信访投诉处理情况。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物业服务企业因管理不善被投诉查证属实的一宗扣1分；物业服务企业没有在</w:t>
            </w:r>
            <w:r>
              <w:rPr>
                <w:rFonts w:hint="eastAsia" w:ascii="Times New Roman" w:hAnsi="Times New Roman" w:cs="宋体"/>
                <w:kern w:val="0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住房城乡建设局限期内及时处理小区有关物业管理类投诉的，1宗扣5分。扣完为止。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45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由</w:t>
            </w:r>
            <w:r>
              <w:rPr>
                <w:rFonts w:hint="eastAsia" w:ascii="Times New Roman" w:hAnsi="Times New Roman" w:cs="宋体"/>
                <w:kern w:val="0"/>
                <w:sz w:val="24"/>
                <w:lang w:eastAsia="zh-CN"/>
              </w:rPr>
              <w:t>鹤山市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住房和城乡建设局结合日常工作情况进行评分。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2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</w:rPr>
              <w:t>物业服务企业配合情况。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没有参加</w:t>
            </w:r>
            <w:r>
              <w:rPr>
                <w:rFonts w:hint="eastAsia" w:ascii="Times New Roman" w:hAnsi="Times New Roman" w:cs="宋体"/>
                <w:kern w:val="0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住房城乡建设局组织的会议或活动的，1次扣2分，最高扣10分；没有配合</w:t>
            </w:r>
            <w:r>
              <w:rPr>
                <w:rFonts w:hint="eastAsia" w:ascii="Times New Roman" w:hAnsi="Times New Roman" w:cs="宋体"/>
                <w:kern w:val="0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住房城乡建设局的物业管理日常巡查工作的，一次扣5分；拒绝接受</w:t>
            </w:r>
            <w:r>
              <w:rPr>
                <w:rFonts w:hint="eastAsia" w:ascii="Times New Roman" w:hAnsi="Times New Roman" w:cs="宋体"/>
                <w:kern w:val="0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住房城乡建设局行政指导的，一次扣15分。扣完为止。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35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3</w:t>
            </w: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</w:rPr>
              <w:t>党建引领小区治理见成效。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成立小区党组织或党群服务中心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得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4分，营造小区党建氛围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得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4分，开展多种形式的党员服务活动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得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4分，设立党群服务点并定期接访群众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得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4分，成立以党员为主体的物业管理委员会或业委会成立党组织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得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kern w:val="0"/>
                <w:sz w:val="24"/>
              </w:rPr>
              <w:t>4分。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20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等线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备注：此表用作</w:t>
            </w:r>
            <w:r>
              <w:rPr>
                <w:rFonts w:hint="eastAsia" w:ascii="Times New Roman" w:hAnsi="Times New Roman" w:cs="宋体"/>
                <w:kern w:val="0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住房和城乡建设局评分，占评定分值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%。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0EA5"/>
    <w:rsid w:val="3FFF0EA5"/>
    <w:rsid w:val="6DE740B9"/>
    <w:rsid w:val="6FDF7796"/>
    <w:rsid w:val="7BD7C3C3"/>
    <w:rsid w:val="BF5F9460"/>
    <w:rsid w:val="DFDF653C"/>
    <w:rsid w:val="FDFDF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436</Characters>
  <Lines>0</Lines>
  <Paragraphs>0</Paragraphs>
  <TotalTime>1</TotalTime>
  <ScaleCrop>false</ScaleCrop>
  <LinksUpToDate>false</LinksUpToDate>
  <CharactersWithSpaces>507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2024-05-10T09:10:00Z</dcterms:created>
  <dc:creator>greatwall</dc:creator>
  <cp:lastModifiedBy>greatwall</cp:lastModifiedBy>
  <cp:lastPrinted>2024-06-06T14:54:25Z</cp:lastPrinted>
  <dcterms:modified xsi:type="dcterms:W3CDTF">2024-06-06T14:54:26Z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90900236DE644640482A4766A9859825</vt:lpwstr>
  </property>
</Properties>
</file>