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</w:rPr>
        <w:t>附件</w:t>
      </w: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鹤山市物业服务企业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评分表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cs="仿宋_GB2312"/>
          <w:kern w:val="0"/>
          <w:szCs w:val="32"/>
          <w:lang w:eastAsia="zh-CN" w:bidi="ar"/>
        </w:rPr>
        <w:t>（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镇街</w:t>
      </w:r>
      <w:r>
        <w:rPr>
          <w:rFonts w:hint="eastAsia" w:ascii="仿宋_GB2312" w:hAnsi="仿宋_GB2312" w:cs="仿宋_GB2312"/>
          <w:kern w:val="0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满分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100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分</w:t>
      </w:r>
      <w:r>
        <w:rPr>
          <w:rFonts w:hint="eastAsia" w:ascii="仿宋_GB2312" w:hAnsi="仿宋_GB2312" w:cs="仿宋_GB2312"/>
          <w:kern w:val="0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物业服务企业：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服务项目个数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服务项目名称（小区名称）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</w:t>
      </w:r>
    </w:p>
    <w:tbl>
      <w:tblPr>
        <w:tblStyle w:val="2"/>
        <w:tblW w:w="9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750"/>
        <w:gridCol w:w="5623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评价内容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规定分值</w:t>
            </w:r>
          </w:p>
        </w:tc>
        <w:tc>
          <w:tcPr>
            <w:tcW w:w="5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考核评分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社区党委或小区党支部意见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10</w:t>
            </w:r>
          </w:p>
        </w:tc>
        <w:tc>
          <w:tcPr>
            <w:tcW w:w="56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各镇（街）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组织向小区党支部（社区党委）、业主委员会（物业管理委员会）或业主代表（不少于5人）征询意见。参评单位或人员根据物业服务企业日常服务情况按照满分10分分别予以评分，得分取平均值。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如有多个服务项目的，最终得分取平均值。</w:t>
            </w:r>
          </w:p>
          <w:p>
            <w:pPr>
              <w:spacing w:line="400" w:lineRule="exact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4"/>
              </w:rPr>
              <w:t>参考评分标准：1.物业服务企业的管理服务人员是否统一着装、行为规范、服务热情；2.物业服务企业有无设立24小时服务或者投诉电话，及时处理业主投诉；3.物业服务企业是否坚决执行业主大会的决定；4.物业服务企业日常物业服务（室内装修、清洁、绿化、灭四害、秩序管理、安全生产等）是否都有工作台账；5.物业公司对小区公共区域保洁和绿化服务是否干净整洁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sz w:val="24"/>
              </w:rPr>
              <w:t>；6.物业公司是否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sz w:val="24"/>
                <w:lang w:eastAsia="zh-CN"/>
              </w:rPr>
              <w:t>做好门岗安保工作，对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sz w:val="24"/>
              </w:rPr>
              <w:t>外来人员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sz w:val="24"/>
                <w:lang w:eastAsia="zh-CN"/>
              </w:rPr>
              <w:t>进行查询登记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sz w:val="24"/>
              </w:rPr>
              <w:t>；</w:t>
            </w:r>
            <w:r>
              <w:rPr>
                <w:rFonts w:hint="eastAsia" w:ascii="Times New Roman" w:hAnsi="Times New Roman" w:cs="仿宋_GB2312"/>
                <w:sz w:val="24"/>
              </w:rPr>
              <w:t>7.物业服务企业是否每年与小区业主开展互动活动；8.物业服务企业对小区公共设施是否维护到位；9.小区停车是否整齐有序；10.物业是否配合属地政府部门、居委、业委的工作。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业主委员会（物业管理委员会）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或随机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业主代表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意见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10</w:t>
            </w:r>
          </w:p>
        </w:tc>
        <w:tc>
          <w:tcPr>
            <w:tcW w:w="56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仿宋_GB2312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trike w:val="0"/>
                <w:dstrike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trike w:val="0"/>
                <w:dstrike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strike w:val="0"/>
                <w:dstrike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strike w:val="0"/>
                <w:dstrike w:val="0"/>
                <w:color w:val="auto"/>
                <w:kern w:val="0"/>
                <w:sz w:val="24"/>
              </w:rPr>
              <w:t>日常监督检查情况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strike/>
                <w:dstrike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strike w:val="0"/>
                <w:dstrike w:val="0"/>
                <w:color w:val="auto"/>
                <w:kern w:val="0"/>
                <w:sz w:val="24"/>
              </w:rPr>
              <w:t>30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仿宋_GB2312" w:cs="仿宋_GB2312"/>
                <w:strike/>
                <w:dstrike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trike w:val="0"/>
                <w:dstrike w:val="0"/>
                <w:color w:val="auto"/>
                <w:kern w:val="0"/>
                <w:sz w:val="24"/>
                <w:lang w:eastAsia="zh-CN"/>
              </w:rPr>
              <w:t>各镇（街）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color w:val="auto"/>
                <w:kern w:val="0"/>
                <w:sz w:val="24"/>
              </w:rPr>
              <w:t>结合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color w:val="auto"/>
                <w:kern w:val="0"/>
                <w:sz w:val="24"/>
                <w:lang w:eastAsia="zh-CN"/>
              </w:rPr>
              <w:t>上述</w:t>
            </w:r>
            <w:r>
              <w:rPr>
                <w:rFonts w:hint="eastAsia" w:ascii="Times New Roman" w:hAnsi="Times New Roman" w:cs="仿宋_GB2312"/>
                <w:strike w:val="0"/>
                <w:dstrike w:val="0"/>
                <w:color w:val="auto"/>
                <w:kern w:val="0"/>
                <w:sz w:val="24"/>
              </w:rPr>
              <w:t>评分标准对物业服务项目日常监督情况予以评分。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物业服务企业信访情况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各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镇（街）根据该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企业服务的小区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信访情况予以评分。引发群体性事件并经核实属物业服务企业责任的，该项不得分；对日常物业投诉纠纷未及时处理的，每发生一起扣2分。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物业服务企业协调管理情况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物业服务企业积极配合镇（街）、居民委员会开展物业管理工作，及时协调物业管理过程中存在的矛盾纠纷。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拒绝参加协调会或消极处理矛盾纠纷的，每发生一次扣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1分，扣完为止。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消防安全管理情况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10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各镇（街）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根据该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企业服务的小区消防安全管理投诉数量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情况进行评分，每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查实一宗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扣1分，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发生火灾安全责任事故一票否决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装修管理情况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</w:rPr>
              <w:t>10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cs="仿宋_GB2312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综合执法部门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根据该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企业服务的小区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违法搭建是否及时</w:t>
            </w:r>
            <w:r>
              <w:rPr>
                <w:rFonts w:hint="eastAsia" w:ascii="Times New Roman" w:hAnsi="Times New Roman" w:cs="仿宋_GB2312"/>
                <w:kern w:val="0"/>
                <w:sz w:val="24"/>
                <w:lang w:eastAsia="zh-CN"/>
              </w:rPr>
              <w:t>报告</w:t>
            </w:r>
            <w:r>
              <w:rPr>
                <w:rFonts w:hint="eastAsia" w:ascii="Times New Roman" w:hAnsi="Times New Roman" w:cs="仿宋_GB2312"/>
                <w:kern w:val="0"/>
                <w:sz w:val="24"/>
              </w:rPr>
              <w:t>工作落实情况进行评分。查实一宗扣一分，扣完为止。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41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11"/>
              </w:tabs>
              <w:spacing w:line="40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总分：（分数）。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备注：此表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用作各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镇（街）评分表，占评定分值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%。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">
    <w:altName w:val="汉仪旗黑-55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24B3"/>
    <w:rsid w:val="45D6F0F0"/>
    <w:rsid w:val="65FFBA05"/>
    <w:rsid w:val="6CFD24B3"/>
    <w:rsid w:val="7A7C7ACF"/>
    <w:rsid w:val="7F7F605A"/>
    <w:rsid w:val="E7FF4CDB"/>
    <w:rsid w:val="EFFF7A58"/>
    <w:rsid w:val="F7EBA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2024-05-10T17:12:00Z</dcterms:created>
  <dc:creator>greatwall</dc:creator>
  <cp:lastModifiedBy>greatwall</cp:lastModifiedBy>
  <cp:lastPrinted>2024-05-16T04:53:00Z</cp:lastPrinted>
  <dcterms:modified xsi:type="dcterms:W3CDTF">2024-05-17T18:01:06Z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34481B605E8B62FFE22A47668BFABCFA</vt:lpwstr>
  </property>
</Properties>
</file>