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66083" w14:textId="77777777" w:rsidR="00361B34" w:rsidRDefault="00000000">
      <w:pPr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江门市亿翔实业有限公司“三旧”改造方案</w:t>
      </w:r>
    </w:p>
    <w:p w14:paraId="06E124F6" w14:textId="77777777" w:rsidR="00361B34" w:rsidRDefault="00361B34">
      <w:pPr>
        <w:rPr>
          <w:rFonts w:hint="eastAsia"/>
        </w:rPr>
      </w:pPr>
    </w:p>
    <w:p w14:paraId="06539AA8" w14:textId="77777777" w:rsidR="00361B34" w:rsidRDefault="00361B34">
      <w:pPr>
        <w:rPr>
          <w:rFonts w:hint="eastAsia"/>
        </w:rPr>
      </w:pPr>
    </w:p>
    <w:p w14:paraId="5060E13B" w14:textId="77E97415" w:rsidR="00361B34" w:rsidRDefault="0000000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为实施国土空间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规划、“三旧”改造专项规划，拟实施江门市亿翔实业有限公司“三旧”改造项目，对位于鹤城镇工业三区的旧厂房用地进行改造。改造方案如下：</w:t>
      </w:r>
    </w:p>
    <w:p w14:paraId="2FAD6D7D" w14:textId="77777777" w:rsidR="00361B34" w:rsidRDefault="00000000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一、改造地块基本情况</w:t>
      </w:r>
    </w:p>
    <w:p w14:paraId="2B4E1680" w14:textId="29D9F367" w:rsidR="00361B34" w:rsidRDefault="0000000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（一）总体情况。</w:t>
      </w:r>
      <w:r>
        <w:rPr>
          <w:rFonts w:ascii="仿宋_GB2312" w:eastAsia="仿宋_GB2312" w:hint="eastAsia"/>
          <w:sz w:val="32"/>
          <w:szCs w:val="32"/>
        </w:rPr>
        <w:t>本项目位于鹤山市鹤城镇工业三区，地块面积为</w:t>
      </w:r>
      <w:r w:rsidR="007847DB">
        <w:rPr>
          <w:rFonts w:ascii="仿宋_GB2312" w:eastAsia="仿宋_GB2312" w:hint="eastAsia"/>
          <w:sz w:val="32"/>
          <w:szCs w:val="32"/>
        </w:rPr>
        <w:t>19619.20平方米</w:t>
      </w:r>
      <w:r>
        <w:rPr>
          <w:rFonts w:ascii="仿宋_GB2312" w:eastAsia="仿宋_GB2312" w:hint="eastAsia"/>
          <w:sz w:val="32"/>
          <w:szCs w:val="32"/>
        </w:rPr>
        <w:t>（29.43亩），宗地号为440784006003GB00319</w:t>
      </w:r>
      <w:r w:rsidR="0002608A">
        <w:rPr>
          <w:rFonts w:ascii="仿宋_GB2312" w:eastAsia="仿宋_GB2312" w:hint="eastAsia"/>
          <w:sz w:val="32"/>
          <w:szCs w:val="32"/>
        </w:rPr>
        <w:t>，现权属人为缪国锋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。改造项目位于鹤城镇工业三区，交通便捷，产业集聚，改造后能提高整体三区经济，升级改造后计划企业年产值将至每年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"/>
        </w:rPr>
        <w:t>2.5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亿元。</w:t>
      </w:r>
    </w:p>
    <w:p w14:paraId="6DC1E7EA" w14:textId="11F7D28B" w:rsidR="00361B34" w:rsidRDefault="00000000">
      <w:pPr>
        <w:numPr>
          <w:ilvl w:val="0"/>
          <w:numId w:val="1"/>
        </w:num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土地现状情况。</w:t>
      </w:r>
      <w:r>
        <w:rPr>
          <w:rFonts w:ascii="仿宋_GB2312" w:eastAsia="仿宋_GB2312" w:hint="eastAsia"/>
          <w:sz w:val="32"/>
          <w:szCs w:val="32"/>
        </w:rPr>
        <w:t>拟改造地块共有1宗地。</w:t>
      </w:r>
      <w:r w:rsidR="0002608A">
        <w:rPr>
          <w:rFonts w:ascii="仿宋_GB2312" w:eastAsia="仿宋_GB2312" w:hint="eastAsia"/>
          <w:sz w:val="32"/>
          <w:szCs w:val="32"/>
        </w:rPr>
        <w:t>地块</w:t>
      </w:r>
      <w:r>
        <w:rPr>
          <w:rFonts w:ascii="仿宋_GB2312" w:eastAsia="仿宋_GB2312" w:hint="eastAsia"/>
          <w:sz w:val="32"/>
          <w:szCs w:val="32"/>
        </w:rPr>
        <w:t>总面积</w:t>
      </w:r>
      <w:r w:rsidR="00CA6C71">
        <w:rPr>
          <w:rFonts w:ascii="仿宋_GB2312" w:eastAsia="仿宋_GB2312" w:hint="eastAsia"/>
          <w:sz w:val="32"/>
          <w:szCs w:val="32"/>
        </w:rPr>
        <w:t>19619.20平方米</w:t>
      </w:r>
      <w:r>
        <w:rPr>
          <w:rFonts w:ascii="仿宋_GB2312" w:eastAsia="仿宋_GB2312" w:hint="eastAsia"/>
          <w:sz w:val="32"/>
          <w:szCs w:val="32"/>
        </w:rPr>
        <w:t>土地利用现状为工业用途，权属来源合法，不涉及边角地、夹心地、插花地。</w:t>
      </w:r>
    </w:p>
    <w:p w14:paraId="42EAFDC9" w14:textId="4D8079A8" w:rsidR="00361B34" w:rsidRDefault="0000000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改造地块现状为建设用地</w:t>
      </w:r>
      <w:r w:rsidR="007847DB">
        <w:rPr>
          <w:rFonts w:ascii="仿宋_GB2312" w:eastAsia="仿宋_GB2312" w:hint="eastAsia"/>
          <w:sz w:val="32"/>
          <w:szCs w:val="32"/>
        </w:rPr>
        <w:t>19619.20平方米</w:t>
      </w:r>
      <w:r>
        <w:rPr>
          <w:rFonts w:ascii="仿宋_GB2312" w:eastAsia="仿宋_GB2312" w:hint="eastAsia"/>
          <w:sz w:val="32"/>
          <w:szCs w:val="32"/>
        </w:rPr>
        <w:t>。涉及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江门市亿翔实业有限公司</w:t>
      </w:r>
      <w:r w:rsidR="00D116EE">
        <w:rPr>
          <w:rFonts w:ascii="仿宋_GB2312" w:eastAsia="仿宋_GB2312" w:hint="eastAsia"/>
          <w:color w:val="000000" w:themeColor="text1"/>
          <w:sz w:val="32"/>
          <w:szCs w:val="32"/>
        </w:rPr>
        <w:t>拟</w:t>
      </w:r>
      <w:r w:rsidR="00D116EE" w:rsidRPr="00D116EE">
        <w:rPr>
          <w:rFonts w:ascii="仿宋_GB2312" w:eastAsia="仿宋_GB2312" w:hint="eastAsia"/>
          <w:color w:val="FF0000"/>
          <w:sz w:val="32"/>
          <w:szCs w:val="32"/>
        </w:rPr>
        <w:t>收购的缪国锋</w:t>
      </w:r>
      <w:r w:rsidRPr="00D116EE">
        <w:rPr>
          <w:rFonts w:ascii="仿宋_GB2312" w:eastAsia="仿宋_GB2312" w:hint="eastAsia"/>
          <w:color w:val="FF0000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</w:rPr>
        <w:t>国有土地</w:t>
      </w:r>
      <w:r w:rsidR="007847DB">
        <w:rPr>
          <w:rFonts w:ascii="仿宋_GB2312" w:eastAsia="仿宋_GB2312" w:hint="eastAsia"/>
          <w:sz w:val="32"/>
          <w:szCs w:val="32"/>
        </w:rPr>
        <w:t>19619.20平方米</w:t>
      </w:r>
      <w:r>
        <w:rPr>
          <w:rFonts w:ascii="仿宋_GB2312" w:eastAsia="仿宋_GB2312" w:hint="eastAsia"/>
          <w:sz w:val="32"/>
          <w:szCs w:val="32"/>
        </w:rPr>
        <w:t>。改造项目主体地块</w:t>
      </w:r>
      <w:proofErr w:type="gramStart"/>
      <w:r>
        <w:rPr>
          <w:rFonts w:ascii="仿宋_GB2312" w:eastAsia="仿宋_GB2312" w:hint="eastAsia"/>
          <w:sz w:val="32"/>
          <w:szCs w:val="32"/>
        </w:rPr>
        <w:t>实地在</w:t>
      </w:r>
      <w:proofErr w:type="gramEnd"/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2007 年 12 月 31 日前已建设使用，并已按规定标图入库</w:t>
      </w:r>
      <w:r>
        <w:rPr>
          <w:rFonts w:ascii="仿宋_GB2312" w:eastAsia="仿宋_GB2312" w:hint="eastAsia"/>
          <w:sz w:val="32"/>
          <w:szCs w:val="32"/>
        </w:rPr>
        <w:t>，按建设用地进行报批。</w:t>
      </w:r>
    </w:p>
    <w:p w14:paraId="4C16D293" w14:textId="2605B635" w:rsidR="00361B34" w:rsidRDefault="00000000">
      <w:pPr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改造项目主体地块现用途为工业用地，项目土地权属来源合法，现状容积率为0.35。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拟在地块建设4栋钢筋</w:t>
      </w:r>
      <w:proofErr w:type="gramStart"/>
      <w:r>
        <w:rPr>
          <w:rFonts w:ascii="仿宋_GB2312" w:eastAsia="仿宋_GB2312" w:hint="eastAsia"/>
          <w:color w:val="000000" w:themeColor="text1"/>
          <w:sz w:val="32"/>
          <w:szCs w:val="32"/>
        </w:rPr>
        <w:t>砼</w:t>
      </w:r>
      <w:proofErr w:type="gramEnd"/>
      <w:r>
        <w:rPr>
          <w:rFonts w:ascii="仿宋_GB2312" w:eastAsia="仿宋_GB2312" w:hint="eastAsia"/>
          <w:color w:val="000000" w:themeColor="text1"/>
          <w:sz w:val="32"/>
          <w:szCs w:val="32"/>
        </w:rPr>
        <w:t>框架结构的高标准厂房，分别为厂房1#（9层，建筑面积约31308平方米）、厂房2#（9层，建筑面积约22728.8平方米）、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>厂房3#（9层，建筑面积约40208.8平方米）、</w:t>
      </w:r>
      <w:proofErr w:type="gramStart"/>
      <w:r>
        <w:rPr>
          <w:rFonts w:ascii="仿宋_GB2312" w:eastAsia="仿宋_GB2312" w:hint="eastAsia"/>
          <w:color w:val="000000" w:themeColor="text1"/>
          <w:sz w:val="32"/>
          <w:szCs w:val="32"/>
        </w:rPr>
        <w:t>研发楼</w:t>
      </w:r>
      <w:proofErr w:type="gramEnd"/>
      <w:r>
        <w:rPr>
          <w:rFonts w:ascii="仿宋_GB2312" w:eastAsia="仿宋_GB2312" w:hint="eastAsia"/>
          <w:color w:val="000000" w:themeColor="text1"/>
          <w:sz w:val="32"/>
          <w:szCs w:val="32"/>
        </w:rPr>
        <w:t>#（15层，建筑面积约10061.5平方米），改造后容积率达5.316</w:t>
      </w:r>
      <w:r w:rsidR="007847DB">
        <w:rPr>
          <w:rFonts w:ascii="仿宋_GB2312" w:eastAsia="仿宋_GB2312" w:hint="eastAsia"/>
          <w:color w:val="000000" w:themeColor="text1"/>
          <w:sz w:val="32"/>
          <w:szCs w:val="32"/>
        </w:rPr>
        <w:t>，具体以市自然资源局批复的规划设计方案为准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14:paraId="229920FA" w14:textId="6BDC3982" w:rsidR="00361B34" w:rsidRDefault="00000000">
      <w:pPr>
        <w:numPr>
          <w:ilvl w:val="0"/>
          <w:numId w:val="1"/>
        </w:num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标图入库情况。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该改造项目主体地块</w:t>
      </w:r>
      <w:r w:rsidR="007847DB">
        <w:rPr>
          <w:rFonts w:ascii="仿宋_GB2312" w:eastAsia="仿宋_GB2312" w:hint="eastAsia"/>
          <w:color w:val="000000" w:themeColor="text1"/>
          <w:sz w:val="32"/>
          <w:szCs w:val="32"/>
        </w:rPr>
        <w:t>19619.20平方米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土地已标图入库，</w:t>
      </w:r>
      <w:proofErr w:type="gramStart"/>
      <w:r>
        <w:rPr>
          <w:rFonts w:ascii="仿宋_GB2312" w:eastAsia="仿宋_GB2312" w:hint="eastAsia"/>
          <w:color w:val="000000" w:themeColor="text1"/>
          <w:sz w:val="32"/>
          <w:szCs w:val="32"/>
        </w:rPr>
        <w:t>图斑号为</w:t>
      </w:r>
      <w:proofErr w:type="gramEnd"/>
      <w:r>
        <w:rPr>
          <w:rFonts w:ascii="仿宋_GB2312" w:eastAsia="仿宋_GB2312" w:hint="eastAsia"/>
          <w:color w:val="000000" w:themeColor="text1"/>
          <w:sz w:val="32"/>
          <w:szCs w:val="32"/>
        </w:rPr>
        <w:t>44078401002。</w:t>
      </w:r>
    </w:p>
    <w:p w14:paraId="6792ECE9" w14:textId="157D19E3" w:rsidR="00361B34" w:rsidRDefault="00000000">
      <w:pPr>
        <w:numPr>
          <w:ilvl w:val="0"/>
          <w:numId w:val="1"/>
        </w:num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规划情况。</w:t>
      </w:r>
      <w:r>
        <w:rPr>
          <w:rFonts w:ascii="仿宋_GB2312" w:eastAsia="仿宋_GB2312" w:hint="eastAsia"/>
          <w:sz w:val="32"/>
          <w:szCs w:val="32"/>
        </w:rPr>
        <w:t>改造项目地块</w:t>
      </w:r>
      <w:r w:rsidR="007847DB">
        <w:rPr>
          <w:rFonts w:ascii="仿宋_GB2312" w:eastAsia="仿宋_GB2312" w:hint="eastAsia"/>
          <w:color w:val="000000" w:themeColor="text1"/>
          <w:sz w:val="32"/>
          <w:szCs w:val="32"/>
        </w:rPr>
        <w:t>19619.20平方米</w:t>
      </w:r>
      <w:r>
        <w:rPr>
          <w:rFonts w:ascii="仿宋_GB2312" w:eastAsia="仿宋_GB2312" w:hint="eastAsia"/>
          <w:sz w:val="32"/>
          <w:szCs w:val="32"/>
        </w:rPr>
        <w:t>土地符合鹤山市鹤城镇总体规划（2018-2035），符合在详细规划中安排为工业用地。</w:t>
      </w:r>
    </w:p>
    <w:p w14:paraId="0A979B89" w14:textId="77777777" w:rsidR="00361B34" w:rsidRDefault="00000000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二、改造意愿及补偿安置情况</w:t>
      </w:r>
    </w:p>
    <w:p w14:paraId="75369807" w14:textId="121D149B" w:rsidR="00361B34" w:rsidRDefault="0000000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（一）改造意愿情况</w:t>
      </w:r>
      <w:r>
        <w:rPr>
          <w:rFonts w:ascii="楷体" w:eastAsia="楷体" w:hAnsi="楷体" w:hint="eastAsia"/>
          <w:color w:val="000000" w:themeColor="text1"/>
          <w:sz w:val="32"/>
          <w:szCs w:val="32"/>
        </w:rPr>
        <w:t>。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江门市亿翔实业有限公司</w:t>
      </w:r>
      <w:r w:rsidR="007847DB">
        <w:rPr>
          <w:rFonts w:ascii="仿宋_GB2312" w:eastAsia="仿宋_GB2312" w:hint="eastAsia"/>
          <w:color w:val="000000" w:themeColor="text1"/>
          <w:sz w:val="32"/>
          <w:szCs w:val="32"/>
        </w:rPr>
        <w:t>及缪国锋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已</w:t>
      </w:r>
      <w:r>
        <w:rPr>
          <w:rFonts w:ascii="仿宋_GB2312" w:eastAsia="仿宋_GB2312" w:hint="eastAsia"/>
          <w:sz w:val="32"/>
          <w:szCs w:val="32"/>
        </w:rPr>
        <w:t>按照法律法规及鹤山市“三旧”改造政策规定，明确改造范围、土地现状、拟改造情况。</w:t>
      </w:r>
    </w:p>
    <w:p w14:paraId="4A734CC3" w14:textId="1558F6BC" w:rsidR="00361B34" w:rsidRDefault="0000000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（二）补偿安置情况。</w:t>
      </w:r>
      <w:r w:rsidRPr="007847DB">
        <w:rPr>
          <w:rFonts w:ascii="仿宋_GB2312" w:eastAsia="仿宋_GB2312" w:hint="eastAsia"/>
          <w:color w:val="FF0000"/>
          <w:sz w:val="32"/>
          <w:szCs w:val="32"/>
        </w:rPr>
        <w:t>本项目</w:t>
      </w:r>
      <w:r w:rsidR="007847DB" w:rsidRPr="007847DB">
        <w:rPr>
          <w:rFonts w:ascii="仿宋_GB2312" w:eastAsia="仿宋_GB2312" w:hint="eastAsia"/>
          <w:color w:val="FF0000"/>
          <w:sz w:val="32"/>
          <w:szCs w:val="32"/>
        </w:rPr>
        <w:t>涉及收购事项由</w:t>
      </w:r>
      <w:r w:rsidR="007847DB" w:rsidRPr="007847DB">
        <w:rPr>
          <w:rFonts w:ascii="仿宋_GB2312" w:eastAsia="仿宋_GB2312" w:hint="eastAsia"/>
          <w:color w:val="FF0000"/>
          <w:sz w:val="32"/>
          <w:szCs w:val="32"/>
        </w:rPr>
        <w:t>江门市亿翔实业有限公司及缪国锋</w:t>
      </w:r>
      <w:r w:rsidR="007847DB" w:rsidRPr="007847DB">
        <w:rPr>
          <w:rFonts w:ascii="仿宋_GB2312" w:eastAsia="仿宋_GB2312" w:hint="eastAsia"/>
          <w:color w:val="FF0000"/>
          <w:sz w:val="32"/>
          <w:szCs w:val="32"/>
        </w:rPr>
        <w:t>自行</w:t>
      </w:r>
      <w:r w:rsidR="00D116EE">
        <w:rPr>
          <w:rFonts w:ascii="仿宋_GB2312" w:eastAsia="仿宋_GB2312" w:hint="eastAsia"/>
          <w:color w:val="FF0000"/>
          <w:sz w:val="32"/>
          <w:szCs w:val="32"/>
        </w:rPr>
        <w:t>解决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4454B75F" w14:textId="10FE4D36" w:rsidR="00361B34" w:rsidRDefault="0000000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（三）开展社会稳定风险评估情况。</w:t>
      </w:r>
      <w:r>
        <w:rPr>
          <w:rFonts w:ascii="仿宋_GB2312" w:eastAsia="仿宋_GB2312" w:hint="eastAsia"/>
          <w:sz w:val="32"/>
          <w:szCs w:val="32"/>
        </w:rPr>
        <w:t>本项目无需开展社会稳定风险评估。</w:t>
      </w:r>
    </w:p>
    <w:p w14:paraId="010B8BE3" w14:textId="77777777" w:rsidR="00361B34" w:rsidRDefault="00000000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三、改造主体及拟改造情况</w:t>
      </w:r>
    </w:p>
    <w:p w14:paraId="330224CF" w14:textId="2BFF2DBF" w:rsidR="00361B34" w:rsidRDefault="0000000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该改造项目属于</w:t>
      </w:r>
      <w:r w:rsidR="007847DB">
        <w:rPr>
          <w:rFonts w:ascii="仿宋_GB2312" w:eastAsia="仿宋_GB2312" w:hint="eastAsia"/>
          <w:color w:val="000000" w:themeColor="text1"/>
          <w:sz w:val="32"/>
          <w:szCs w:val="32"/>
        </w:rPr>
        <w:t>混合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改造类型，</w:t>
      </w:r>
      <w:r w:rsidRPr="007847DB">
        <w:rPr>
          <w:rFonts w:ascii="仿宋_GB2312" w:eastAsia="仿宋_GB2312" w:hint="eastAsia"/>
          <w:color w:val="FF0000"/>
          <w:sz w:val="32"/>
          <w:szCs w:val="32"/>
        </w:rPr>
        <w:t>拟采取企业</w:t>
      </w:r>
      <w:r w:rsidR="007847DB" w:rsidRPr="007847DB">
        <w:rPr>
          <w:rFonts w:ascii="仿宋_GB2312" w:eastAsia="仿宋_GB2312" w:hint="eastAsia"/>
          <w:color w:val="FF0000"/>
          <w:sz w:val="32"/>
          <w:szCs w:val="32"/>
        </w:rPr>
        <w:t>收购</w:t>
      </w:r>
      <w:r w:rsidRPr="007847DB">
        <w:rPr>
          <w:rFonts w:ascii="仿宋_GB2312" w:eastAsia="仿宋_GB2312" w:hint="eastAsia"/>
          <w:color w:val="FF0000"/>
          <w:sz w:val="32"/>
          <w:szCs w:val="32"/>
        </w:rPr>
        <w:t>改造模式，由江门市亿翔实业有限公司作为改造主体</w:t>
      </w:r>
      <w:r w:rsidR="007847DB" w:rsidRPr="007847DB">
        <w:rPr>
          <w:rFonts w:ascii="仿宋_GB2312" w:eastAsia="仿宋_GB2312" w:hint="eastAsia"/>
          <w:color w:val="FF0000"/>
          <w:sz w:val="32"/>
          <w:szCs w:val="32"/>
        </w:rPr>
        <w:t>收购权属为缪国锋的国有土地并实施混合</w:t>
      </w:r>
      <w:r w:rsidRPr="007847DB">
        <w:rPr>
          <w:rFonts w:ascii="仿宋_GB2312" w:eastAsia="仿宋_GB2312" w:hint="eastAsia"/>
          <w:color w:val="FF0000"/>
          <w:sz w:val="32"/>
          <w:szCs w:val="32"/>
        </w:rPr>
        <w:t>改造</w:t>
      </w:r>
      <w:r>
        <w:rPr>
          <w:rFonts w:ascii="仿宋_GB2312" w:eastAsia="仿宋_GB2312" w:hint="eastAsia"/>
          <w:sz w:val="32"/>
          <w:szCs w:val="32"/>
        </w:rPr>
        <w:t>。改造</w:t>
      </w:r>
      <w:proofErr w:type="gramStart"/>
      <w:r>
        <w:rPr>
          <w:rFonts w:ascii="仿宋_GB2312" w:eastAsia="仿宋_GB2312" w:hint="eastAsia"/>
          <w:sz w:val="32"/>
          <w:szCs w:val="32"/>
        </w:rPr>
        <w:t>后主体</w:t>
      </w:r>
      <w:proofErr w:type="gramEnd"/>
      <w:r>
        <w:rPr>
          <w:rFonts w:ascii="仿宋_GB2312" w:eastAsia="仿宋_GB2312" w:hint="eastAsia"/>
          <w:sz w:val="32"/>
          <w:szCs w:val="32"/>
        </w:rPr>
        <w:t>有进行工业物业分割转让的意向，同意按照《江门市工业厂房开发经营和分割销售管理的指导意见》执行。改造</w:t>
      </w:r>
      <w:proofErr w:type="gramStart"/>
      <w:r>
        <w:rPr>
          <w:rFonts w:ascii="仿宋_GB2312" w:eastAsia="仿宋_GB2312" w:hint="eastAsia"/>
          <w:sz w:val="32"/>
          <w:szCs w:val="32"/>
        </w:rPr>
        <w:t>后主体</w:t>
      </w:r>
      <w:proofErr w:type="gramEnd"/>
      <w:r>
        <w:rPr>
          <w:rFonts w:ascii="仿宋_GB2312" w:eastAsia="仿宋_GB2312" w:hint="eastAsia"/>
          <w:sz w:val="32"/>
          <w:szCs w:val="32"/>
        </w:rPr>
        <w:t>需要调整土地年限，意向将年限调整为50年，并同意增缴相应的土地出让金。</w:t>
      </w:r>
    </w:p>
    <w:p w14:paraId="744AEC85" w14:textId="77777777" w:rsidR="00361B34" w:rsidRDefault="00000000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四、需办理的规划及用地手续</w:t>
      </w:r>
    </w:p>
    <w:p w14:paraId="79608F0E" w14:textId="77777777" w:rsidR="00361B34" w:rsidRDefault="0000000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本项目已取得国有工业用地使用权证，本项目无需办理规划及用地手续。</w:t>
      </w:r>
    </w:p>
    <w:p w14:paraId="085D0181" w14:textId="77777777" w:rsidR="00361B34" w:rsidRDefault="00000000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五、资金筹措</w:t>
      </w:r>
    </w:p>
    <w:p w14:paraId="730F5740" w14:textId="221AE4A9" w:rsidR="00361B34" w:rsidRDefault="00000000">
      <w:pPr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本</w:t>
      </w:r>
      <w:proofErr w:type="gramStart"/>
      <w:r>
        <w:rPr>
          <w:rFonts w:ascii="仿宋_GB2312" w:eastAsia="仿宋_GB2312" w:hint="eastAsia"/>
          <w:color w:val="000000" w:themeColor="text1"/>
          <w:sz w:val="32"/>
          <w:szCs w:val="32"/>
        </w:rPr>
        <w:t>项目拟总投入</w:t>
      </w:r>
      <w:proofErr w:type="gramEnd"/>
      <w:r>
        <w:rPr>
          <w:rFonts w:ascii="仿宋_GB2312" w:eastAsia="仿宋_GB2312" w:hint="eastAsia"/>
          <w:color w:val="000000" w:themeColor="text1"/>
          <w:sz w:val="32"/>
          <w:szCs w:val="32"/>
        </w:rPr>
        <w:t>3.0亿元，其中自筹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"/>
        </w:rPr>
        <w:t>9000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万元，银行融资贷款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"/>
        </w:rPr>
        <w:t>210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00万元</w:t>
      </w:r>
      <w:r w:rsidR="007847DB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="007847DB" w:rsidRPr="00D116EE">
        <w:rPr>
          <w:rFonts w:ascii="仿宋_GB2312" w:eastAsia="仿宋_GB2312" w:hint="eastAsia"/>
          <w:color w:val="FF0000"/>
          <w:sz w:val="32"/>
          <w:szCs w:val="32"/>
        </w:rPr>
        <w:t>具体以企业实际投入为准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14:paraId="2E932498" w14:textId="77777777" w:rsidR="00361B34" w:rsidRDefault="00000000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六、开发时序</w:t>
      </w:r>
    </w:p>
    <w:p w14:paraId="5DEF95E3" w14:textId="778AB467" w:rsidR="00361B34" w:rsidRDefault="0000000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整个项目开发规划周期为3年，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开发土地面积</w:t>
      </w:r>
      <w:r w:rsidR="007847DB">
        <w:rPr>
          <w:rFonts w:ascii="仿宋_GB2312" w:eastAsia="仿宋_GB2312" w:hint="eastAsia"/>
          <w:sz w:val="32"/>
          <w:szCs w:val="32"/>
        </w:rPr>
        <w:t>19619.20平方米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"/>
        </w:rPr>
        <w:t>;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改</w:t>
      </w:r>
      <w:r>
        <w:rPr>
          <w:rFonts w:ascii="仿宋_GB2312" w:eastAsia="仿宋_GB2312" w:hint="eastAsia"/>
          <w:sz w:val="32"/>
          <w:szCs w:val="32"/>
        </w:rPr>
        <w:t>造项目开发周期由改造主体整体规划开发建设，</w:t>
      </w:r>
      <w:r w:rsidRPr="00D116EE">
        <w:rPr>
          <w:rFonts w:ascii="仿宋_GB2312" w:eastAsia="仿宋_GB2312" w:hint="eastAsia"/>
          <w:color w:val="FF0000"/>
          <w:sz w:val="32"/>
          <w:szCs w:val="32"/>
        </w:rPr>
        <w:t>按项目产业招商引资发展如期推进落实，计划于2027年4月建成。</w:t>
      </w:r>
    </w:p>
    <w:p w14:paraId="4B5607EC" w14:textId="77777777" w:rsidR="00361B34" w:rsidRDefault="00000000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七、实施监管</w:t>
      </w:r>
    </w:p>
    <w:p w14:paraId="3E7AB623" w14:textId="77777777" w:rsidR="00361B34" w:rsidRDefault="0000000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项目获市政府批复后，</w:t>
      </w:r>
      <w:r w:rsidRPr="00D116EE">
        <w:rPr>
          <w:rFonts w:ascii="仿宋_GB2312" w:eastAsia="仿宋_GB2312" w:hint="eastAsia"/>
          <w:color w:val="FF0000"/>
          <w:sz w:val="32"/>
          <w:szCs w:val="32"/>
        </w:rPr>
        <w:t>鹤城镇人民政府配合做好项目相关监督工作，按要求签订相关的产业监管协议</w:t>
      </w:r>
      <w:r>
        <w:rPr>
          <w:rFonts w:ascii="仿宋_GB2312" w:eastAsia="仿宋_GB2312" w:hint="eastAsia"/>
          <w:sz w:val="32"/>
          <w:szCs w:val="32"/>
        </w:rPr>
        <w:t>，进一步明确开发时序。</w:t>
      </w:r>
    </w:p>
    <w:sectPr w:rsidR="00361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6EBE45" w14:textId="77777777" w:rsidR="00C22122" w:rsidRDefault="00C22122" w:rsidP="007847DB">
      <w:pPr>
        <w:rPr>
          <w:rFonts w:hint="eastAsia"/>
        </w:rPr>
      </w:pPr>
      <w:r>
        <w:separator/>
      </w:r>
    </w:p>
  </w:endnote>
  <w:endnote w:type="continuationSeparator" w:id="0">
    <w:p w14:paraId="5B68B14F" w14:textId="77777777" w:rsidR="00C22122" w:rsidRDefault="00C22122" w:rsidP="007847D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FD4749" w14:textId="77777777" w:rsidR="00C22122" w:rsidRDefault="00C22122" w:rsidP="007847DB">
      <w:pPr>
        <w:rPr>
          <w:rFonts w:hint="eastAsia"/>
        </w:rPr>
      </w:pPr>
      <w:r>
        <w:separator/>
      </w:r>
    </w:p>
  </w:footnote>
  <w:footnote w:type="continuationSeparator" w:id="0">
    <w:p w14:paraId="62ACAB7B" w14:textId="77777777" w:rsidR="00C22122" w:rsidRDefault="00C22122" w:rsidP="007847D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9B405"/>
    <w:multiLevelType w:val="singleLevel"/>
    <w:tmpl w:val="10C9B405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60317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Q5MDMwMDdjNTdiYWIyNjhmNjdhZmM0OTM5MTQzNmYifQ=="/>
  </w:docVars>
  <w:rsids>
    <w:rsidRoot w:val="00D521AA"/>
    <w:rsid w:val="BFFF21B3"/>
    <w:rsid w:val="DE7D1316"/>
    <w:rsid w:val="FBFD9296"/>
    <w:rsid w:val="FFBF2E51"/>
    <w:rsid w:val="0002608A"/>
    <w:rsid w:val="00121842"/>
    <w:rsid w:val="00315162"/>
    <w:rsid w:val="00361B34"/>
    <w:rsid w:val="00570E51"/>
    <w:rsid w:val="0061354E"/>
    <w:rsid w:val="007847DB"/>
    <w:rsid w:val="008207B3"/>
    <w:rsid w:val="00B12203"/>
    <w:rsid w:val="00BA1802"/>
    <w:rsid w:val="00C03A21"/>
    <w:rsid w:val="00C22122"/>
    <w:rsid w:val="00CA6C71"/>
    <w:rsid w:val="00CB1EEE"/>
    <w:rsid w:val="00D116EE"/>
    <w:rsid w:val="00D2527E"/>
    <w:rsid w:val="00D3453F"/>
    <w:rsid w:val="00D521AA"/>
    <w:rsid w:val="00DF7B06"/>
    <w:rsid w:val="00F657F5"/>
    <w:rsid w:val="020A2568"/>
    <w:rsid w:val="028B5457"/>
    <w:rsid w:val="03174F3D"/>
    <w:rsid w:val="03E2379C"/>
    <w:rsid w:val="04545D1C"/>
    <w:rsid w:val="047C774D"/>
    <w:rsid w:val="05234C3E"/>
    <w:rsid w:val="063C5B6D"/>
    <w:rsid w:val="06727F90"/>
    <w:rsid w:val="06CD24E2"/>
    <w:rsid w:val="06F832D7"/>
    <w:rsid w:val="07797F74"/>
    <w:rsid w:val="07E15B19"/>
    <w:rsid w:val="083E11BD"/>
    <w:rsid w:val="08C94F2B"/>
    <w:rsid w:val="09F076E8"/>
    <w:rsid w:val="0B0A5387"/>
    <w:rsid w:val="0B275F39"/>
    <w:rsid w:val="0BF55B90"/>
    <w:rsid w:val="0D246BD4"/>
    <w:rsid w:val="0DC83A03"/>
    <w:rsid w:val="0F7F0E8B"/>
    <w:rsid w:val="0FDA17CC"/>
    <w:rsid w:val="10E36DA6"/>
    <w:rsid w:val="111101E6"/>
    <w:rsid w:val="11561702"/>
    <w:rsid w:val="11603F53"/>
    <w:rsid w:val="11707F15"/>
    <w:rsid w:val="122E5DFF"/>
    <w:rsid w:val="127E28E2"/>
    <w:rsid w:val="129C545E"/>
    <w:rsid w:val="129E2F84"/>
    <w:rsid w:val="13A97E33"/>
    <w:rsid w:val="13DD06EF"/>
    <w:rsid w:val="15051099"/>
    <w:rsid w:val="1582093B"/>
    <w:rsid w:val="16240ED4"/>
    <w:rsid w:val="16610345"/>
    <w:rsid w:val="16BB0258"/>
    <w:rsid w:val="17936E30"/>
    <w:rsid w:val="18291542"/>
    <w:rsid w:val="185C36C6"/>
    <w:rsid w:val="198804EA"/>
    <w:rsid w:val="1B8B6634"/>
    <w:rsid w:val="1C0032CC"/>
    <w:rsid w:val="1EF35DED"/>
    <w:rsid w:val="20723534"/>
    <w:rsid w:val="211A411E"/>
    <w:rsid w:val="214C62A1"/>
    <w:rsid w:val="22A31EF1"/>
    <w:rsid w:val="22B365D8"/>
    <w:rsid w:val="23117D6E"/>
    <w:rsid w:val="233A0AA7"/>
    <w:rsid w:val="23FF550D"/>
    <w:rsid w:val="24AD7057"/>
    <w:rsid w:val="251B0465"/>
    <w:rsid w:val="2593624D"/>
    <w:rsid w:val="259756BC"/>
    <w:rsid w:val="25A81DFD"/>
    <w:rsid w:val="26255241"/>
    <w:rsid w:val="269A364E"/>
    <w:rsid w:val="271B474C"/>
    <w:rsid w:val="27F21951"/>
    <w:rsid w:val="28013942"/>
    <w:rsid w:val="281C69CE"/>
    <w:rsid w:val="2859377E"/>
    <w:rsid w:val="294538FF"/>
    <w:rsid w:val="2B5621F6"/>
    <w:rsid w:val="2BA03472"/>
    <w:rsid w:val="2C0559CB"/>
    <w:rsid w:val="2CA46F92"/>
    <w:rsid w:val="2D5113CC"/>
    <w:rsid w:val="2D9C0556"/>
    <w:rsid w:val="2DBB0A37"/>
    <w:rsid w:val="2E2B796A"/>
    <w:rsid w:val="2FAC6889"/>
    <w:rsid w:val="2FD858D0"/>
    <w:rsid w:val="30C05955"/>
    <w:rsid w:val="30E3277E"/>
    <w:rsid w:val="31384CF9"/>
    <w:rsid w:val="3161581B"/>
    <w:rsid w:val="32A41A99"/>
    <w:rsid w:val="33C53FAB"/>
    <w:rsid w:val="3402116D"/>
    <w:rsid w:val="353F1F4D"/>
    <w:rsid w:val="357C6CFE"/>
    <w:rsid w:val="35A3134A"/>
    <w:rsid w:val="36AD3772"/>
    <w:rsid w:val="36BB1AA7"/>
    <w:rsid w:val="36C26992"/>
    <w:rsid w:val="36EE59D9"/>
    <w:rsid w:val="371B2546"/>
    <w:rsid w:val="377759CE"/>
    <w:rsid w:val="37FA215C"/>
    <w:rsid w:val="38262ACB"/>
    <w:rsid w:val="388C54AA"/>
    <w:rsid w:val="3A1274A6"/>
    <w:rsid w:val="3A18578A"/>
    <w:rsid w:val="3AE46C26"/>
    <w:rsid w:val="3AFE1F63"/>
    <w:rsid w:val="3BC74A4B"/>
    <w:rsid w:val="3C1D79B3"/>
    <w:rsid w:val="3D0018FF"/>
    <w:rsid w:val="3D2E4D81"/>
    <w:rsid w:val="3D7B789B"/>
    <w:rsid w:val="3DEE62BF"/>
    <w:rsid w:val="3E53C51B"/>
    <w:rsid w:val="3E78202C"/>
    <w:rsid w:val="3E9230EE"/>
    <w:rsid w:val="3EA31199"/>
    <w:rsid w:val="3F2F4DE1"/>
    <w:rsid w:val="3F402AB0"/>
    <w:rsid w:val="3F9B06C8"/>
    <w:rsid w:val="3FA72BC9"/>
    <w:rsid w:val="407E7DCE"/>
    <w:rsid w:val="41D43389"/>
    <w:rsid w:val="42530EC5"/>
    <w:rsid w:val="42621452"/>
    <w:rsid w:val="42F77A61"/>
    <w:rsid w:val="43EA5B5C"/>
    <w:rsid w:val="4413082D"/>
    <w:rsid w:val="442C18EF"/>
    <w:rsid w:val="44641089"/>
    <w:rsid w:val="44B67614"/>
    <w:rsid w:val="45CA13BF"/>
    <w:rsid w:val="47420F1C"/>
    <w:rsid w:val="47596E9F"/>
    <w:rsid w:val="47F92430"/>
    <w:rsid w:val="488006FB"/>
    <w:rsid w:val="49415E3C"/>
    <w:rsid w:val="49D62A28"/>
    <w:rsid w:val="49DC05BD"/>
    <w:rsid w:val="49EC224C"/>
    <w:rsid w:val="4A897A9B"/>
    <w:rsid w:val="4BDE5BC4"/>
    <w:rsid w:val="4C124BA7"/>
    <w:rsid w:val="4CBA6FC5"/>
    <w:rsid w:val="4DD92AE7"/>
    <w:rsid w:val="4FAA4D48"/>
    <w:rsid w:val="50A24AC4"/>
    <w:rsid w:val="51B573C7"/>
    <w:rsid w:val="536845DB"/>
    <w:rsid w:val="53A96AB8"/>
    <w:rsid w:val="53EE6BC1"/>
    <w:rsid w:val="55570883"/>
    <w:rsid w:val="56625644"/>
    <w:rsid w:val="56F73FDE"/>
    <w:rsid w:val="5727255A"/>
    <w:rsid w:val="579A5C43"/>
    <w:rsid w:val="57AA5DFA"/>
    <w:rsid w:val="57B56B3A"/>
    <w:rsid w:val="57EB0677"/>
    <w:rsid w:val="585A2A77"/>
    <w:rsid w:val="5A9C0F86"/>
    <w:rsid w:val="5B3A26EB"/>
    <w:rsid w:val="5C8C4CA1"/>
    <w:rsid w:val="5C8E0F41"/>
    <w:rsid w:val="5D706898"/>
    <w:rsid w:val="5DE11544"/>
    <w:rsid w:val="5F4A0598"/>
    <w:rsid w:val="5F4D50E3"/>
    <w:rsid w:val="5F645F89"/>
    <w:rsid w:val="5FF6523E"/>
    <w:rsid w:val="60C43183"/>
    <w:rsid w:val="60CC2038"/>
    <w:rsid w:val="60D11FEC"/>
    <w:rsid w:val="60E9485E"/>
    <w:rsid w:val="63100901"/>
    <w:rsid w:val="642E6B65"/>
    <w:rsid w:val="65DD6A95"/>
    <w:rsid w:val="665215C2"/>
    <w:rsid w:val="66926C36"/>
    <w:rsid w:val="66E71979"/>
    <w:rsid w:val="686511C6"/>
    <w:rsid w:val="69822C8C"/>
    <w:rsid w:val="6B160A7F"/>
    <w:rsid w:val="6B4D1FC7"/>
    <w:rsid w:val="6B6A7665"/>
    <w:rsid w:val="6C1F77E2"/>
    <w:rsid w:val="6C474C68"/>
    <w:rsid w:val="6C7C2B64"/>
    <w:rsid w:val="6C823EF2"/>
    <w:rsid w:val="6C991968"/>
    <w:rsid w:val="6D8C327A"/>
    <w:rsid w:val="6E761835"/>
    <w:rsid w:val="6E8E6B7E"/>
    <w:rsid w:val="6ECD69E1"/>
    <w:rsid w:val="6F1A48B6"/>
    <w:rsid w:val="70B558D8"/>
    <w:rsid w:val="7105445C"/>
    <w:rsid w:val="722C0B88"/>
    <w:rsid w:val="723B701D"/>
    <w:rsid w:val="726E2F4F"/>
    <w:rsid w:val="72AC1CC9"/>
    <w:rsid w:val="72B017B9"/>
    <w:rsid w:val="732B7092"/>
    <w:rsid w:val="7476433D"/>
    <w:rsid w:val="74F82FA3"/>
    <w:rsid w:val="74FBDC15"/>
    <w:rsid w:val="74FF4332"/>
    <w:rsid w:val="7510794D"/>
    <w:rsid w:val="756B19C7"/>
    <w:rsid w:val="75AD0232"/>
    <w:rsid w:val="764D5571"/>
    <w:rsid w:val="770519A8"/>
    <w:rsid w:val="776C4B43"/>
    <w:rsid w:val="78BB2C66"/>
    <w:rsid w:val="78F63C9E"/>
    <w:rsid w:val="794F33AE"/>
    <w:rsid w:val="795A5FDB"/>
    <w:rsid w:val="79B002F1"/>
    <w:rsid w:val="7A0D129F"/>
    <w:rsid w:val="7AC1208A"/>
    <w:rsid w:val="7BCF5B31"/>
    <w:rsid w:val="7C6E3644"/>
    <w:rsid w:val="7C743857"/>
    <w:rsid w:val="7CBD9A31"/>
    <w:rsid w:val="7CC93192"/>
    <w:rsid w:val="7D7F14AD"/>
    <w:rsid w:val="7DF34C50"/>
    <w:rsid w:val="7EE226EE"/>
    <w:rsid w:val="7F3217A8"/>
    <w:rsid w:val="7F7D91A1"/>
    <w:rsid w:val="7FBF1B0F"/>
    <w:rsid w:val="7FE55272"/>
    <w:rsid w:val="7FFF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F279B"/>
  <w15:docId w15:val="{B04FC7FB-DC4F-4829-B59E-A849A6729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199</Words>
  <Characters>1135</Characters>
  <Application>Microsoft Office Word</Application>
  <DocSecurity>0</DocSecurity>
  <Lines>9</Lines>
  <Paragraphs>2</Paragraphs>
  <ScaleCrop>false</ScaleCrop>
  <Company>微软中国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麦诗华</dc:creator>
  <cp:lastModifiedBy>GX P</cp:lastModifiedBy>
  <cp:revision>4</cp:revision>
  <cp:lastPrinted>2024-11-22T07:00:00Z</cp:lastPrinted>
  <dcterms:created xsi:type="dcterms:W3CDTF">2024-11-22T06:46:00Z</dcterms:created>
  <dcterms:modified xsi:type="dcterms:W3CDTF">2024-11-22T07:01:00Z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5BA793303B974E30B5C40A3772C62DB0</vt:lpwstr>
  </property>
</Properties>
</file>