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2015年全市预算公开相关情况补充说明</w:t>
      </w:r>
    </w:p>
    <w:p>
      <w:pPr>
        <w:rPr>
          <w:rFonts w:ascii="仿宋" w:hAnsi="仿宋" w:eastAsia="仿宋"/>
          <w:b/>
          <w:sz w:val="30"/>
          <w:szCs w:val="30"/>
        </w:rPr>
      </w:pP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一、关于“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三公”经费预算的说明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我市2015年安排全市“三公”经费4,793万元，比去年决算数减少31万元，占一般公共预算支出的1.67%。其中：因公出国（境）支出81万元，比去年决算数减少30万元；公务用车购置及运行维护支出2,712万元，与去年决算数持平；公务接待费支出2,000万元，比去年决算数减少1万元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二、关于上级转移支付预算的说明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我市2015年收到上级预下达的税收返还和转移支付22,099万元,其中税收返还17,247万元，一般性转移支付2,077万元，专项转移支付2,775万元。上级预下达资金均已列入2015年预算安排使用，其中一般性转移支付和专项转移支付按上级下达文件要求，主要用于教育、社会保障、医疗、农林水等保障和改善民生支出。</w:t>
      </w:r>
    </w:p>
    <w:p>
      <w:pPr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CF0"/>
    <w:rsid w:val="003727B9"/>
    <w:rsid w:val="004C503D"/>
    <w:rsid w:val="004E1D3C"/>
    <w:rsid w:val="006D0BC0"/>
    <w:rsid w:val="00781CF0"/>
    <w:rsid w:val="6FBF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2016-07-27T17:24:00Z</dcterms:created>
  <dc:creator>彭泳珊</dc:creator>
  <cp:lastModifiedBy>administrator</cp:lastModifiedBy>
  <dcterms:modified xsi:type="dcterms:W3CDTF">2024-12-20T09:47:38Z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