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pStyle w:val="2"/>
        <w:bidi w:val="0"/>
        <w:rPr>
          <w:rFonts w:hint="default" w:ascii="Times New Roman" w:hAnsi="Times New Roman" w:eastAsia="方正小标宋简体" w:cs="Times New Roman"/>
          <w:b w:val="0"/>
          <w:bCs/>
          <w:szCs w:val="44"/>
          <w:lang w:eastAsia="zh-CN"/>
        </w:rPr>
      </w:pPr>
      <w:bookmarkStart w:id="1" w:name="_GoBack"/>
      <w:bookmarkStart w:id="0" w:name="_Toc26452"/>
      <w:r>
        <w:rPr>
          <w:rFonts w:hint="default" w:ascii="Times New Roman" w:hAnsi="Times New Roman" w:cs="Times New Roman"/>
          <w:lang w:val="en-US" w:eastAsia="zh-CN"/>
        </w:rPr>
        <w:t>鹤山市</w:t>
      </w:r>
      <w:r>
        <w:rPr>
          <w:rFonts w:hint="default" w:ascii="Times New Roman" w:hAnsi="Times New Roman" w:cs="Times New Roman"/>
          <w:lang w:eastAsia="zh-CN"/>
        </w:rPr>
        <w:t>古劳镇</w:t>
      </w:r>
      <w:r>
        <w:rPr>
          <w:rFonts w:hint="default" w:ascii="Times New Roman" w:hAnsi="Times New Roman" w:cs="Times New Roman"/>
          <w:lang w:val="en-US" w:eastAsia="zh-CN"/>
        </w:rPr>
        <w:t>2024年</w:t>
      </w:r>
      <w:r>
        <w:rPr>
          <w:rFonts w:hint="default" w:ascii="Times New Roman" w:hAnsi="Times New Roman" w:cs="Times New Roman"/>
          <w:lang w:eastAsia="zh-CN"/>
        </w:rPr>
        <w:t>政府性基金预算收支预算</w:t>
      </w:r>
      <w:r>
        <w:rPr>
          <w:rFonts w:hint="default" w:ascii="Times New Roman" w:hAnsi="Times New Roman" w:cs="Times New Roman"/>
          <w:lang w:val="en-US" w:eastAsia="zh-CN"/>
        </w:rPr>
        <w:t>执行</w:t>
      </w:r>
      <w:r>
        <w:rPr>
          <w:rFonts w:hint="default" w:ascii="Times New Roman" w:hAnsi="Times New Roman" w:cs="Times New Roman"/>
          <w:lang w:eastAsia="zh-CN"/>
        </w:rPr>
        <w:t>表</w:t>
      </w:r>
      <w:bookmarkEnd w:id="0"/>
    </w:p>
    <w:bookmarkEnd w:id="1"/>
    <w:p>
      <w:pP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br w:type="page"/>
      </w:r>
    </w:p>
    <w:p>
      <w:pPr>
        <w:bidi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鹤山市古劳镇2024年政府性基金预算收支预算执行总表</w:t>
      </w:r>
    </w:p>
    <w:p>
      <w:pPr>
        <w:bidi w:val="0"/>
        <w:spacing w:line="360" w:lineRule="exact"/>
        <w:jc w:val="right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单位：万元</w:t>
      </w:r>
    </w:p>
    <w:tbl>
      <w:tblPr>
        <w:tblStyle w:val="5"/>
        <w:tblW w:w="15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960"/>
        <w:gridCol w:w="1350"/>
        <w:gridCol w:w="1140"/>
        <w:gridCol w:w="1575"/>
        <w:gridCol w:w="1665"/>
        <w:gridCol w:w="1860"/>
        <w:gridCol w:w="1455"/>
        <w:gridCol w:w="1410"/>
        <w:gridCol w:w="1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7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收入项目</w:t>
            </w:r>
          </w:p>
        </w:tc>
        <w:tc>
          <w:tcPr>
            <w:tcW w:w="78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2024年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预算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2024年实绩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实绩完成%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2024年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预算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实绩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实绩完成%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一、政府性基金预算收入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2,190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95.24%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一、政府性基金预算支出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2,300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2,272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1030147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农业土地开发资金收入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国有土地使用权出让收入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2,100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1,639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78.04%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1030155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彩票公益金收入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2,300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2,232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1030156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城市基础设施配套费收入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国有土地使用权出让收入安排的支出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2,100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2,032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1030178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污水处理费收入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275.78%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农业土地开发资金安排的支出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城市基础设施配套费安排的支出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污水处理费安排的支出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200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40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债务发行费用支出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二、政府性基金转移支付收入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434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二、上解支出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352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三、上年结余收入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三、债务还本支出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四、债务转贷收入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五、调出资金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五、县对镇的补助收人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六、年终结余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2,300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2,624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114.09%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2,300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2,624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114.09%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pStyle w:val="3"/>
        <w:rPr>
          <w:rFonts w:hint="default" w:ascii="Times New Roman" w:hAnsi="Times New Roman" w:cs="Times New Roman"/>
        </w:rPr>
        <w:sectPr>
          <w:headerReference r:id="rId3" w:type="default"/>
          <w:pgSz w:w="16838" w:h="11906" w:orient="landscape"/>
          <w:pgMar w:top="1800" w:right="1440" w:bottom="1800" w:left="1440" w:header="567" w:footer="283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鹤山市古劳镇2024年政府性基金预算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收入预算执行表</w:t>
      </w:r>
    </w:p>
    <w:p>
      <w:pPr>
        <w:bidi w:val="0"/>
        <w:spacing w:line="360" w:lineRule="exact"/>
        <w:jc w:val="right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单位：万元</w:t>
      </w:r>
    </w:p>
    <w:tbl>
      <w:tblPr>
        <w:tblStyle w:val="5"/>
        <w:tblW w:w="95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3411"/>
        <w:gridCol w:w="1169"/>
        <w:gridCol w:w="1091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科目号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2024年预算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2024年实绩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2024年实绩完成%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一、政府性基金预算收入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2,300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2,190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1030147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农业土地开发资金收入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国有土地使用权出让收入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2,100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1,639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103014801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土地出让价款收入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2,100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1,639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103014802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补缴的土地价款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103014803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划拨土地收入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103014898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缴纳新增建设用地土地有偿使用费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103014899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其他土地出让收入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1030155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彩票公益金收入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103015501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福利彩票公益金收入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103015502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体育彩票公益金收入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1030156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城市基础设施配套费收入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1030178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污水处理费收入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552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275.78%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1030180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彩票发行机构和彩票销售机构的业务费用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二、政府性基金转移支付收入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434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11004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政府性基金转移支付收入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434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三、上年结余收入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1100802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政府性基金预算上年结余收入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四、债务转贷收入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1101102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地方政府专项债务转贷收入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五、调入资金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1100902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调入政府性基金预算资金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六、县对镇补助收入</w:t>
            </w:r>
          </w:p>
        </w:tc>
        <w:tc>
          <w:tcPr>
            <w:tcW w:w="3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2,300 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2,624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114.09%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鹤山市古劳镇2024年政府性基金预算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支出预算执行表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单位：万元</w:t>
      </w:r>
    </w:p>
    <w:tbl>
      <w:tblPr>
        <w:tblStyle w:val="5"/>
        <w:tblW w:w="93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3812"/>
        <w:gridCol w:w="1095"/>
        <w:gridCol w:w="1035"/>
        <w:gridCol w:w="1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科目号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lang w:val="en-US" w:eastAsia="zh-CN" w:bidi="ar"/>
              </w:rPr>
              <w:t>科目名称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lang w:val="en-US" w:eastAsia="zh-CN" w:bidi="ar"/>
              </w:rPr>
              <w:t>年预算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lang w:val="en-US" w:eastAsia="zh-CN" w:bidi="ar"/>
              </w:rPr>
              <w:t>年实绩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lang w:val="en-US" w:eastAsia="zh-CN" w:bidi="ar"/>
              </w:rPr>
              <w:t>年实绩完成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一、政府性基金预算支出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2,272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文化旅游体育与传媒支出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20707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国家电影事业发展专项资金安排的支出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2070702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资助影院建设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2070799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其他国家电影事业发展专项资金支出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社会保障和就业支出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20822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大中型水库移民后期扶持基金支出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2082201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移民补助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2082202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基础设施建设和经济发展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2082299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其他大中型水库移民后期扶持基金支出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20823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小型水库移民扶助基金安排的支出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2082301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移民补助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2082302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基础设施建设和经济发展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2082399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其他小型水库移民扶助基金支出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城乡社区支出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2,232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97.03%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国有土地使用权出让收入及对应专项债务收入安排的支出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2,032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2120801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征地和拆迁补偿支出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1,639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2120802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土地开发支出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2120803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城市建设支出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2120804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农村基础设施建设支出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2120805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补助被征地农民支出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2120806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土地出让业务支出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2120814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农村生产发展支出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2120815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农村社会事业支出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2120816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农业农村生态环境支出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2120899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其他国有土地使用权出让收入安排的支出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21211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农业土地开发资金安排的支出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21213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城市基础设施配套费安排的支出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2121301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城市公共设施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2121302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城市环境卫生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2121399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其他城市基础设施配套费安排的支出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21214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污水处理费安排的支出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2121401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污水处理设施建设和运营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2121402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代征手续费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2121499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其他污水处理费安排的支出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农林水支出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21366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大中型水库库区基金安排的支出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2136601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基础设施建设和经济发展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2136699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其他大中型水库库区基金支出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21369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国家重大水利工程建设基金收入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2136902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三峡工程后续工作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交通运输支出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21462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车辆通行费安排的支出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2146299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其他车辆通行费安排的支出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其他支出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22904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其他政府性基金及对应专项债务收入安排的支出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22908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彩票发行销售机构业务费安排的支出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2290804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福利彩票销售机构的业务费支出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2290805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体育彩票销售机构的业务费支出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22960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彩票公益金安排的支出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2296002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用于社会福利的彩票公益金支出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2296003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用于体育事业的彩票公益金支出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2296004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用于教育事业的彩票公益金支出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2296006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用于残疾人事业的彩票公益金支出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2296013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用于城乡医疗救助的彩票公益金支出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2296099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用于其他社会公益事业的彩票公益金支出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债务付息支出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地方政府专项债务付息支出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2320411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国有土地使用权出让金债务付息支出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2320431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土地储备专项债券付息支出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2320498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其他地方自行试点项目收益专项债券付息支出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2320499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其他政府性基金债务付息支出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债务发行费用支出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23304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地方政府专项债务发行费用支出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2330411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国有土地使用权出让金债务发行费用支出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2330431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土地储备专项债券发行费用支出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2330498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其他地方自行试点项目收益专项债券发行费用支出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抗疫特别国债安排的支出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基础设施建设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2340101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公共卫生体系建设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2340102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重大疫情防控救治体系建设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2340108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生态环境治理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2340109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交通基础设施建设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23402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抗疫相关支出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2340299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其他抗疫相关支出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二、上解支出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2300603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政府性基金上解支出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三、债务还本支出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23104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地方政府专项债务还本支出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四、调出资金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2300802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政府性基金预算调出资金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五、年终结余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2300902</w:t>
            </w:r>
          </w:p>
        </w:tc>
        <w:tc>
          <w:tcPr>
            <w:tcW w:w="3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8"/>
                <w:rFonts w:hint="default" w:ascii="Times New Roman" w:hAnsi="Times New Roman" w:eastAsia="方正仿宋_GBK" w:cs="Times New Roman"/>
                <w:lang w:val="en-US" w:eastAsia="zh-CN" w:bidi="ar"/>
              </w:rPr>
              <w:t>政府性基金年终结余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支出合计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2,624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114.09%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ZjJhYTcwOTRkN2MzMTkwODNjMjU0NTM1ODg2YjQifQ=="/>
    <w:docVar w:name="KSO_WPS_MARK_KEY" w:val="942110e2-3705-40fc-9442-ca3300a04270"/>
  </w:docVars>
  <w:rsids>
    <w:rsidRoot w:val="42BB0E32"/>
    <w:rsid w:val="42BB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1844</Words>
  <Characters>2745</Characters>
  <Lines>0</Lines>
  <Paragraphs>0</Paragraphs>
  <TotalTime>0</TotalTime>
  <ScaleCrop>false</ScaleCrop>
  <LinksUpToDate>false</LinksUpToDate>
  <CharactersWithSpaces>3138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2025-05-19T04:50:00Z</dcterms:created>
  <dc:creator>Administrator</dc:creator>
  <cp:lastModifiedBy>Administrator</cp:lastModifiedBy>
  <dcterms:modified xsi:type="dcterms:W3CDTF">2025-05-19T04:53:43Z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CCC54FC35EC34568ACACFCEF20F25676</vt:lpwstr>
  </property>
</Properties>
</file>