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77DDE">
      <w:pPr>
        <w:rPr>
          <w:rFonts w:hint="eastAsia"/>
        </w:rPr>
      </w:pPr>
    </w:p>
    <w:p w14:paraId="45725CD0">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sz w:val="44"/>
          <w:szCs w:val="44"/>
          <w:highlight w:val="none"/>
        </w:rPr>
        <w:t>租</w:t>
      </w:r>
      <w:r>
        <w:rPr>
          <w:rFonts w:hint="eastAsia" w:ascii="方正小标宋简体" w:hAnsi="方正小标宋简体" w:eastAsia="方正小标宋简体" w:cs="方正小标宋简体"/>
          <w:b/>
          <w:bCs/>
          <w:sz w:val="44"/>
          <w:szCs w:val="44"/>
          <w:highlight w:val="none"/>
          <w:lang w:val="en-US" w:eastAsia="zh-CN"/>
        </w:rPr>
        <w:t xml:space="preserve"> </w:t>
      </w:r>
      <w:r>
        <w:rPr>
          <w:rFonts w:hint="eastAsia" w:ascii="方正小标宋简体" w:hAnsi="方正小标宋简体" w:eastAsia="方正小标宋简体" w:cs="方正小标宋简体"/>
          <w:b/>
          <w:bCs/>
          <w:sz w:val="44"/>
          <w:szCs w:val="44"/>
          <w:highlight w:val="none"/>
        </w:rPr>
        <w:t>赁</w:t>
      </w:r>
      <w:r>
        <w:rPr>
          <w:rFonts w:hint="eastAsia" w:ascii="方正小标宋简体" w:hAnsi="方正小标宋简体" w:eastAsia="方正小标宋简体" w:cs="方正小标宋简体"/>
          <w:b/>
          <w:bCs/>
          <w:sz w:val="44"/>
          <w:szCs w:val="44"/>
          <w:highlight w:val="none"/>
          <w:lang w:val="en-US" w:eastAsia="zh-CN"/>
        </w:rPr>
        <w:t xml:space="preserve"> </w:t>
      </w:r>
      <w:r>
        <w:rPr>
          <w:rFonts w:hint="eastAsia" w:ascii="方正小标宋简体" w:hAnsi="方正小标宋简体" w:eastAsia="方正小标宋简体" w:cs="方正小标宋简体"/>
          <w:b/>
          <w:bCs/>
          <w:sz w:val="44"/>
          <w:szCs w:val="44"/>
          <w:highlight w:val="none"/>
        </w:rPr>
        <w:t>合</w:t>
      </w:r>
      <w:r>
        <w:rPr>
          <w:rFonts w:hint="eastAsia" w:ascii="方正小标宋简体" w:hAnsi="方正小标宋简体" w:eastAsia="方正小标宋简体" w:cs="方正小标宋简体"/>
          <w:b/>
          <w:bCs/>
          <w:sz w:val="44"/>
          <w:szCs w:val="44"/>
          <w:highlight w:val="none"/>
          <w:lang w:val="en-US" w:eastAsia="zh-CN"/>
        </w:rPr>
        <w:t xml:space="preserve"> </w:t>
      </w:r>
      <w:r>
        <w:rPr>
          <w:rFonts w:hint="eastAsia" w:ascii="方正小标宋简体" w:hAnsi="方正小标宋简体" w:eastAsia="方正小标宋简体" w:cs="方正小标宋简体"/>
          <w:b/>
          <w:bCs/>
          <w:sz w:val="44"/>
          <w:szCs w:val="44"/>
          <w:highlight w:val="none"/>
        </w:rPr>
        <w:t>同</w:t>
      </w:r>
    </w:p>
    <w:p w14:paraId="7553FF7F">
      <w:pPr>
        <w:keepNext w:val="0"/>
        <w:keepLines w:val="0"/>
        <w:pageBreakBefore w:val="0"/>
        <w:kinsoku/>
        <w:wordWrap/>
        <w:overflowPunct/>
        <w:topLinePunct w:val="0"/>
        <w:autoSpaceDN/>
        <w:bidi w:val="0"/>
        <w:adjustRightInd/>
        <w:snapToGrid/>
        <w:spacing w:line="500" w:lineRule="exact"/>
        <w:textAlignment w:val="auto"/>
        <w:rPr>
          <w:rFonts w:hint="eastAsia"/>
          <w:highlight w:val="none"/>
        </w:rPr>
      </w:pPr>
    </w:p>
    <w:p w14:paraId="75BA487A">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eastAsia="zh-CN"/>
        </w:rPr>
      </w:pPr>
      <w:r>
        <w:rPr>
          <w:rFonts w:hint="eastAsia" w:ascii="方正仿宋_GB2312" w:hAnsi="方正仿宋_GB2312" w:eastAsia="方正仿宋_GB2312" w:cs="方正仿宋_GB2312"/>
          <w:b w:val="0"/>
          <w:bCs w:val="0"/>
          <w:color w:val="auto"/>
          <w:sz w:val="28"/>
          <w:szCs w:val="28"/>
          <w:u w:val="none"/>
          <w:lang w:val="en-US" w:eastAsia="zh-CN"/>
        </w:rPr>
        <w:t>甲方（出租方）</w:t>
      </w:r>
      <w:r>
        <w:rPr>
          <w:rFonts w:hint="eastAsia" w:ascii="方正仿宋_GB2312" w:hAnsi="方正仿宋_GB2312" w:eastAsia="方正仿宋_GB2312" w:cs="方正仿宋_GB2312"/>
          <w:b w:val="0"/>
          <w:bCs w:val="0"/>
          <w:color w:val="auto"/>
          <w:sz w:val="28"/>
          <w:szCs w:val="28"/>
          <w:u w:val="none"/>
          <w:lang w:eastAsia="zh-CN"/>
        </w:rPr>
        <w:t>：鹤山市昆仑</w:t>
      </w:r>
      <w:r>
        <w:rPr>
          <w:rFonts w:hint="eastAsia" w:ascii="方正仿宋_GB2312" w:hAnsi="方正仿宋_GB2312" w:eastAsia="方正仿宋_GB2312" w:cs="方正仿宋_GB2312"/>
          <w:b w:val="0"/>
          <w:bCs w:val="0"/>
          <w:color w:val="auto"/>
          <w:sz w:val="28"/>
          <w:szCs w:val="28"/>
          <w:u w:val="none"/>
          <w:lang w:val="en-US" w:eastAsia="zh-CN"/>
        </w:rPr>
        <w:t>旭日发展</w:t>
      </w:r>
      <w:r>
        <w:rPr>
          <w:rFonts w:hint="eastAsia" w:ascii="方正仿宋_GB2312" w:hAnsi="方正仿宋_GB2312" w:eastAsia="方正仿宋_GB2312" w:cs="方正仿宋_GB2312"/>
          <w:b w:val="0"/>
          <w:bCs w:val="0"/>
          <w:color w:val="auto"/>
          <w:sz w:val="28"/>
          <w:szCs w:val="28"/>
          <w:u w:val="none"/>
          <w:lang w:eastAsia="zh-CN"/>
        </w:rPr>
        <w:t>有限公司</w:t>
      </w:r>
    </w:p>
    <w:p w14:paraId="12DA5108">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eastAsia="zh-CN"/>
        </w:rPr>
        <w:t>法定代表人：</w:t>
      </w:r>
      <w:r>
        <w:rPr>
          <w:rFonts w:hint="eastAsia" w:ascii="方正仿宋_GB2312" w:hAnsi="方正仿宋_GB2312" w:eastAsia="方正仿宋_GB2312" w:cs="方正仿宋_GB2312"/>
          <w:b w:val="0"/>
          <w:bCs w:val="0"/>
          <w:color w:val="auto"/>
          <w:sz w:val="28"/>
          <w:szCs w:val="28"/>
          <w:u w:val="none"/>
          <w:lang w:val="en-US" w:eastAsia="zh-CN"/>
        </w:rPr>
        <w:t>郭锦汉</w:t>
      </w:r>
    </w:p>
    <w:p w14:paraId="6887B8B3">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eastAsia="zh-CN"/>
        </w:rPr>
        <w:t>联系电话：</w:t>
      </w:r>
      <w:r>
        <w:rPr>
          <w:rFonts w:hint="eastAsia" w:ascii="方正仿宋_GB2312" w:hAnsi="方正仿宋_GB2312" w:eastAsia="方正仿宋_GB2312" w:cs="方正仿宋_GB2312"/>
          <w:b w:val="0"/>
          <w:bCs w:val="0"/>
          <w:color w:val="auto"/>
          <w:sz w:val="28"/>
          <w:szCs w:val="28"/>
          <w:u w:val="none"/>
          <w:lang w:val="en-US" w:eastAsia="zh-CN"/>
        </w:rPr>
        <w:t>0750-8388005</w:t>
      </w:r>
    </w:p>
    <w:p w14:paraId="0B134275">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eastAsia="zh-CN"/>
        </w:rPr>
      </w:pPr>
    </w:p>
    <w:p w14:paraId="44004F9A">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eastAsia="zh-CN"/>
        </w:rPr>
      </w:pPr>
      <w:r>
        <w:rPr>
          <w:rFonts w:hint="eastAsia" w:ascii="方正仿宋_GB2312" w:hAnsi="方正仿宋_GB2312" w:eastAsia="方正仿宋_GB2312" w:cs="方正仿宋_GB2312"/>
          <w:b w:val="0"/>
          <w:bCs w:val="0"/>
          <w:color w:val="auto"/>
          <w:sz w:val="28"/>
          <w:szCs w:val="28"/>
          <w:u w:val="none"/>
          <w:lang w:eastAsia="zh-CN"/>
        </w:rPr>
        <w:t>乙方（</w:t>
      </w:r>
      <w:r>
        <w:rPr>
          <w:rFonts w:hint="eastAsia" w:ascii="方正仿宋_GB2312" w:hAnsi="方正仿宋_GB2312" w:eastAsia="方正仿宋_GB2312" w:cs="方正仿宋_GB2312"/>
          <w:b w:val="0"/>
          <w:bCs w:val="0"/>
          <w:color w:val="auto"/>
          <w:sz w:val="28"/>
          <w:szCs w:val="28"/>
          <w:u w:val="none"/>
          <w:lang w:val="en-US" w:eastAsia="zh-CN"/>
        </w:rPr>
        <w:t>承租方</w:t>
      </w:r>
      <w:r>
        <w:rPr>
          <w:rFonts w:hint="eastAsia" w:ascii="方正仿宋_GB2312" w:hAnsi="方正仿宋_GB2312" w:eastAsia="方正仿宋_GB2312" w:cs="方正仿宋_GB2312"/>
          <w:b w:val="0"/>
          <w:bCs w:val="0"/>
          <w:color w:val="auto"/>
          <w:sz w:val="28"/>
          <w:szCs w:val="28"/>
          <w:u w:val="none"/>
          <w:lang w:eastAsia="zh-CN"/>
        </w:rPr>
        <w:t>）：</w:t>
      </w:r>
    </w:p>
    <w:p w14:paraId="38BEC1DF">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eastAsia="zh-CN"/>
        </w:rPr>
        <w:t>联系电话：</w:t>
      </w:r>
    </w:p>
    <w:p w14:paraId="1CA13176">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highlight w:val="none"/>
          <w:u w:val="none"/>
          <w:lang w:val="en-US" w:eastAsia="zh-CN"/>
        </w:rPr>
      </w:pPr>
    </w:p>
    <w:p w14:paraId="526C0EEB">
      <w:pPr>
        <w:keepNext w:val="0"/>
        <w:keepLines w:val="0"/>
        <w:pageBreakBefore w:val="0"/>
        <w:kinsoku/>
        <w:wordWrap/>
        <w:overflowPunct/>
        <w:topLinePunct w:val="0"/>
        <w:autoSpaceDN/>
        <w:bidi w:val="0"/>
        <w:adjustRightInd/>
        <w:snapToGrid/>
        <w:spacing w:line="500" w:lineRule="exact"/>
        <w:ind w:firstLine="411" w:firstLineChars="147"/>
        <w:textAlignment w:val="auto"/>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color w:val="auto"/>
          <w:sz w:val="28"/>
          <w:szCs w:val="28"/>
          <w:highlight w:val="none"/>
          <w:lang w:eastAsia="zh-CN"/>
        </w:rPr>
        <w:t>甲方将公司属下的物业出租给乙方，双方根据《中华人民共和国民法典》及相关规定，为明确双方权利、义务关系，经过双方协商，签订本合同，以便在合同期内共同遵守。</w:t>
      </w:r>
    </w:p>
    <w:p w14:paraId="0CBFC69A">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bCs/>
          <w:sz w:val="28"/>
          <w:szCs w:val="28"/>
          <w:highlight w:val="none"/>
          <w:u w:val="none"/>
          <w:lang w:val="en-US" w:eastAsia="zh-CN"/>
        </w:rPr>
      </w:pPr>
      <w:r>
        <w:rPr>
          <w:rFonts w:hint="eastAsia" w:ascii="方正仿宋_GB2312" w:hAnsi="方正仿宋_GB2312" w:eastAsia="方正仿宋_GB2312" w:cs="方正仿宋_GB2312"/>
          <w:color w:val="auto"/>
          <w:sz w:val="28"/>
          <w:szCs w:val="28"/>
          <w:highlight w:val="none"/>
          <w:lang w:eastAsia="zh-CN"/>
        </w:rPr>
        <w:t>甲方将座落于</w:t>
      </w:r>
      <w:r>
        <w:rPr>
          <w:rFonts w:hint="eastAsia" w:ascii="方正仿宋_GB2312" w:hAnsi="方正仿宋_GB2312" w:eastAsia="方正仿宋_GB2312" w:cs="方正仿宋_GB2312"/>
          <w:color w:val="auto"/>
          <w:sz w:val="28"/>
          <w:szCs w:val="28"/>
          <w:highlight w:val="none"/>
          <w:u w:val="single"/>
          <w:lang w:eastAsia="zh-CN"/>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建筑面积为</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平方米物业租</w:t>
      </w:r>
      <w:r>
        <w:rPr>
          <w:rFonts w:hint="eastAsia" w:ascii="方正仿宋_GB2312" w:hAnsi="方正仿宋_GB2312" w:eastAsia="方正仿宋_GB2312" w:cs="方正仿宋_GB2312"/>
          <w:color w:val="auto"/>
          <w:sz w:val="28"/>
          <w:szCs w:val="28"/>
          <w:highlight w:val="none"/>
          <w:lang w:val="en-US" w:eastAsia="zh-CN"/>
        </w:rPr>
        <w:t>给乙</w:t>
      </w:r>
      <w:r>
        <w:rPr>
          <w:rFonts w:hint="eastAsia" w:ascii="方正仿宋_GB2312" w:hAnsi="方正仿宋_GB2312" w:eastAsia="方正仿宋_GB2312" w:cs="方正仿宋_GB2312"/>
          <w:color w:val="auto"/>
          <w:sz w:val="28"/>
          <w:szCs w:val="28"/>
          <w:highlight w:val="none"/>
          <w:lang w:eastAsia="zh-CN"/>
        </w:rPr>
        <w:t>方作为</w:t>
      </w:r>
      <w:r>
        <w:rPr>
          <w:rFonts w:hint="eastAsia" w:ascii="方正仿宋_GB2312" w:hAnsi="方正仿宋_GB2312" w:eastAsia="方正仿宋_GB2312" w:cs="方正仿宋_GB2312"/>
          <w:color w:val="auto"/>
          <w:sz w:val="28"/>
          <w:szCs w:val="28"/>
          <w:highlight w:val="none"/>
          <w:u w:val="single"/>
          <w:lang w:eastAsia="zh-CN"/>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商铺 </w:t>
      </w:r>
      <w:r>
        <w:rPr>
          <w:rFonts w:hint="eastAsia" w:ascii="方正仿宋_GB2312" w:hAnsi="方正仿宋_GB2312" w:eastAsia="方正仿宋_GB2312" w:cs="方正仿宋_GB2312"/>
          <w:color w:val="auto"/>
          <w:sz w:val="28"/>
          <w:szCs w:val="28"/>
          <w:highlight w:val="none"/>
          <w:lang w:eastAsia="zh-CN"/>
        </w:rPr>
        <w:t>使用。租期为</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年,租赁期限从</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年</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日起至</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日止。</w:t>
      </w:r>
    </w:p>
    <w:p w14:paraId="3DBE0E40">
      <w:pPr>
        <w:keepNext w:val="0"/>
        <w:keepLines w:val="0"/>
        <w:pageBreakBefore w:val="0"/>
        <w:numPr>
          <w:ilvl w:val="0"/>
          <w:numId w:val="1"/>
        </w:numPr>
        <w:kinsoku/>
        <w:wordWrap/>
        <w:overflowPunct/>
        <w:topLinePunct w:val="0"/>
        <w:autoSpaceDN/>
        <w:bidi w:val="0"/>
        <w:adjustRightInd/>
        <w:snapToGrid/>
        <w:spacing w:line="240" w:lineRule="auto"/>
        <w:ind w:firstLine="560" w:firstLineChars="200"/>
        <w:textAlignment w:val="auto"/>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租金前三年免租，第四、五年每月每平方米</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元，每年应向甲方缴纳租金人民币</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u w:val="single"/>
          <w:lang w:val="en-US" w:eastAsia="zh-CN"/>
        </w:rPr>
        <w:t>¥     元。</w:t>
      </w:r>
      <w:r>
        <w:rPr>
          <w:rFonts w:hint="eastAsia" w:ascii="方正仿宋_GB2312" w:hAnsi="方正仿宋_GB2312" w:eastAsia="方正仿宋_GB2312" w:cs="方正仿宋_GB2312"/>
          <w:color w:val="auto"/>
          <w:sz w:val="28"/>
          <w:szCs w:val="28"/>
          <w:highlight w:val="none"/>
          <w:lang w:val="en-US" w:eastAsia="zh-CN"/>
        </w:rPr>
        <w:t>）第六年起每月每平方米</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 xml:space="preserve">元，乙方每年应向甲方缴纳租金人民币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u w:val="single"/>
          <w:lang w:val="en-US" w:eastAsia="zh-CN"/>
        </w:rPr>
        <w:t>¥      元。</w:t>
      </w:r>
      <w:r>
        <w:rPr>
          <w:rFonts w:hint="eastAsia" w:ascii="方正仿宋_GB2312" w:hAnsi="方正仿宋_GB2312" w:eastAsia="方正仿宋_GB2312" w:cs="方正仿宋_GB2312"/>
          <w:color w:val="auto"/>
          <w:sz w:val="28"/>
          <w:szCs w:val="28"/>
          <w:highlight w:val="none"/>
          <w:lang w:val="en-US" w:eastAsia="zh-CN"/>
        </w:rPr>
        <w:t>）。从第</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年度起每</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年递增</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%。租金具体如下：</w:t>
      </w:r>
    </w:p>
    <w:tbl>
      <w:tblPr>
        <w:tblStyle w:val="5"/>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7"/>
        <w:gridCol w:w="1253"/>
        <w:gridCol w:w="2916"/>
      </w:tblGrid>
      <w:tr w14:paraId="3B24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7" w:type="dxa"/>
            <w:vMerge w:val="restart"/>
            <w:vAlign w:val="center"/>
          </w:tcPr>
          <w:p w14:paraId="277E03B0">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租赁期限</w:t>
            </w:r>
          </w:p>
        </w:tc>
        <w:tc>
          <w:tcPr>
            <w:tcW w:w="4169" w:type="dxa"/>
            <w:gridSpan w:val="2"/>
            <w:vAlign w:val="center"/>
          </w:tcPr>
          <w:p w14:paraId="1698C603">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年租金（人民币）</w:t>
            </w:r>
          </w:p>
        </w:tc>
      </w:tr>
      <w:tr w14:paraId="3AC7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7" w:type="dxa"/>
            <w:vMerge w:val="continue"/>
            <w:vAlign w:val="center"/>
          </w:tcPr>
          <w:p w14:paraId="0D1BA9CF">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rPr>
            </w:pPr>
          </w:p>
        </w:tc>
        <w:tc>
          <w:tcPr>
            <w:tcW w:w="1253" w:type="dxa"/>
            <w:vAlign w:val="center"/>
          </w:tcPr>
          <w:p w14:paraId="506B0E20">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小写</w:t>
            </w:r>
          </w:p>
        </w:tc>
        <w:tc>
          <w:tcPr>
            <w:tcW w:w="2916" w:type="dxa"/>
            <w:vAlign w:val="center"/>
          </w:tcPr>
          <w:p w14:paraId="4BD730E9">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大写</w:t>
            </w:r>
          </w:p>
        </w:tc>
      </w:tr>
      <w:tr w14:paraId="67DE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7" w:type="dxa"/>
            <w:vAlign w:val="center"/>
          </w:tcPr>
          <w:p w14:paraId="534FB134">
            <w:pPr>
              <w:keepNext w:val="0"/>
              <w:keepLines w:val="0"/>
              <w:pageBreakBefore w:val="0"/>
              <w:kinsoku/>
              <w:wordWrap/>
              <w:overflowPunct/>
              <w:topLinePunct w:val="0"/>
              <w:autoSpaceDN/>
              <w:bidi w:val="0"/>
              <w:adjustRightInd/>
              <w:snapToGrid/>
              <w:spacing w:line="500" w:lineRule="exact"/>
              <w:jc w:val="center"/>
              <w:textAlignment w:val="auto"/>
              <w:rPr>
                <w:rFonts w:hint="default" w:ascii="方正仿宋_GB2312" w:hAnsi="方正仿宋_GB2312" w:eastAsia="方正仿宋_GB2312" w:cs="方正仿宋_GB2312"/>
                <w:b w:val="0"/>
                <w:bCs/>
                <w:sz w:val="28"/>
                <w:szCs w:val="28"/>
                <w:highlight w:val="none"/>
                <w:vertAlign w:val="baseline"/>
                <w:lang w:val="en-US" w:eastAsia="zh-CN"/>
              </w:rPr>
            </w:pPr>
          </w:p>
        </w:tc>
        <w:tc>
          <w:tcPr>
            <w:tcW w:w="1253" w:type="dxa"/>
            <w:vAlign w:val="center"/>
          </w:tcPr>
          <w:p w14:paraId="7B870C41">
            <w:pPr>
              <w:keepNext w:val="0"/>
              <w:keepLines w:val="0"/>
              <w:pageBreakBefore w:val="0"/>
              <w:kinsoku/>
              <w:wordWrap/>
              <w:overflowPunct/>
              <w:topLinePunct w:val="0"/>
              <w:autoSpaceDN/>
              <w:bidi w:val="0"/>
              <w:adjustRightInd/>
              <w:snapToGrid/>
              <w:spacing w:line="500" w:lineRule="exact"/>
              <w:jc w:val="center"/>
              <w:textAlignment w:val="auto"/>
              <w:rPr>
                <w:rFonts w:hint="default" w:ascii="方正仿宋_GB2312" w:hAnsi="方正仿宋_GB2312" w:eastAsia="方正仿宋_GB2312" w:cs="方正仿宋_GB2312"/>
                <w:b w:val="0"/>
                <w:bCs/>
                <w:sz w:val="28"/>
                <w:szCs w:val="28"/>
                <w:highlight w:val="none"/>
                <w:vertAlign w:val="baseline"/>
                <w:lang w:val="en-US" w:eastAsia="zh-CN"/>
              </w:rPr>
            </w:pPr>
          </w:p>
        </w:tc>
        <w:tc>
          <w:tcPr>
            <w:tcW w:w="2916" w:type="dxa"/>
            <w:vAlign w:val="center"/>
          </w:tcPr>
          <w:p w14:paraId="20044FB9">
            <w:pPr>
              <w:keepNext w:val="0"/>
              <w:keepLines w:val="0"/>
              <w:pageBreakBefore w:val="0"/>
              <w:kinsoku/>
              <w:wordWrap/>
              <w:overflowPunct/>
              <w:topLinePunct w:val="0"/>
              <w:autoSpaceDN/>
              <w:bidi w:val="0"/>
              <w:adjustRightInd/>
              <w:snapToGrid/>
              <w:spacing w:line="500" w:lineRule="exact"/>
              <w:jc w:val="center"/>
              <w:textAlignment w:val="auto"/>
              <w:rPr>
                <w:rFonts w:hint="default" w:ascii="方正仿宋_GB2312" w:hAnsi="方正仿宋_GB2312" w:eastAsia="方正仿宋_GB2312" w:cs="方正仿宋_GB2312"/>
                <w:b w:val="0"/>
                <w:bCs/>
                <w:sz w:val="28"/>
                <w:szCs w:val="28"/>
                <w:highlight w:val="none"/>
                <w:vertAlign w:val="baseline"/>
                <w:lang w:val="en-US" w:eastAsia="zh-CN"/>
              </w:rPr>
            </w:pPr>
          </w:p>
        </w:tc>
      </w:tr>
      <w:tr w14:paraId="39D1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7" w:type="dxa"/>
            <w:vAlign w:val="center"/>
          </w:tcPr>
          <w:p w14:paraId="17B21A27">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sz w:val="28"/>
                <w:szCs w:val="28"/>
                <w:highlight w:val="none"/>
                <w:vertAlign w:val="baseline"/>
              </w:rPr>
            </w:pPr>
          </w:p>
        </w:tc>
        <w:tc>
          <w:tcPr>
            <w:tcW w:w="1253" w:type="dxa"/>
            <w:vAlign w:val="center"/>
          </w:tcPr>
          <w:p w14:paraId="643DB6F2">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sz w:val="28"/>
                <w:szCs w:val="28"/>
                <w:highlight w:val="none"/>
                <w:u w:val="none"/>
                <w:vertAlign w:val="baseline"/>
              </w:rPr>
            </w:pPr>
          </w:p>
        </w:tc>
        <w:tc>
          <w:tcPr>
            <w:tcW w:w="2916" w:type="dxa"/>
            <w:vAlign w:val="center"/>
          </w:tcPr>
          <w:p w14:paraId="6BF60EB9">
            <w:pPr>
              <w:keepNext w:val="0"/>
              <w:keepLines w:val="0"/>
              <w:pageBreakBefore w:val="0"/>
              <w:kinsoku/>
              <w:wordWrap/>
              <w:overflowPunct/>
              <w:topLinePunct w:val="0"/>
              <w:autoSpaceDN/>
              <w:bidi w:val="0"/>
              <w:adjustRightInd/>
              <w:snapToGrid/>
              <w:spacing w:line="500" w:lineRule="exact"/>
              <w:jc w:val="left"/>
              <w:textAlignment w:val="auto"/>
              <w:rPr>
                <w:rFonts w:hint="eastAsia" w:ascii="方正仿宋_GB2312" w:hAnsi="方正仿宋_GB2312" w:eastAsia="方正仿宋_GB2312" w:cs="方正仿宋_GB2312"/>
                <w:b/>
                <w:sz w:val="28"/>
                <w:szCs w:val="28"/>
                <w:highlight w:val="none"/>
                <w:u w:val="none"/>
                <w:vertAlign w:val="baseline"/>
              </w:rPr>
            </w:pPr>
          </w:p>
        </w:tc>
      </w:tr>
      <w:tr w14:paraId="3BCE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7" w:type="dxa"/>
            <w:vAlign w:val="center"/>
          </w:tcPr>
          <w:p w14:paraId="16F578A7">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sz w:val="28"/>
                <w:szCs w:val="28"/>
                <w:highlight w:val="none"/>
                <w:vertAlign w:val="baseline"/>
              </w:rPr>
            </w:pPr>
          </w:p>
        </w:tc>
        <w:tc>
          <w:tcPr>
            <w:tcW w:w="1253" w:type="dxa"/>
            <w:vAlign w:val="center"/>
          </w:tcPr>
          <w:p w14:paraId="2EAE8607">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sz w:val="28"/>
                <w:szCs w:val="28"/>
                <w:highlight w:val="none"/>
                <w:u w:val="none"/>
                <w:vertAlign w:val="baseline"/>
              </w:rPr>
            </w:pPr>
          </w:p>
        </w:tc>
        <w:tc>
          <w:tcPr>
            <w:tcW w:w="2916" w:type="dxa"/>
            <w:vAlign w:val="center"/>
          </w:tcPr>
          <w:p w14:paraId="59FE8FA6">
            <w:pPr>
              <w:keepNext w:val="0"/>
              <w:keepLines w:val="0"/>
              <w:pageBreakBefore w:val="0"/>
              <w:kinsoku/>
              <w:wordWrap/>
              <w:overflowPunct/>
              <w:topLinePunct w:val="0"/>
              <w:autoSpaceDN/>
              <w:bidi w:val="0"/>
              <w:adjustRightInd/>
              <w:snapToGrid/>
              <w:spacing w:line="500" w:lineRule="exact"/>
              <w:jc w:val="left"/>
              <w:textAlignment w:val="auto"/>
              <w:rPr>
                <w:rFonts w:hint="eastAsia" w:ascii="方正仿宋_GB2312" w:hAnsi="方正仿宋_GB2312" w:eastAsia="方正仿宋_GB2312" w:cs="方正仿宋_GB2312"/>
                <w:b/>
                <w:sz w:val="28"/>
                <w:szCs w:val="28"/>
                <w:highlight w:val="none"/>
                <w:u w:val="none"/>
                <w:vertAlign w:val="baseline"/>
              </w:rPr>
            </w:pPr>
          </w:p>
        </w:tc>
      </w:tr>
    </w:tbl>
    <w:p w14:paraId="3C5B62D3">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租赁物业交付使用前，甲方向收取乙方租赁物业保证金</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元（不少于三个月租金，由竞投保证金转为租赁物业保证金，不足部分的由乙方补齐），合同期满或按约定提前终止合同，若乙方没有违约情况的，甲方应当退回给乙方。</w:t>
      </w:r>
    </w:p>
    <w:p w14:paraId="1DB1F906">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计租时间从</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日起，从计租之月起十二个月为一计租年度。租金在每年</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日前交清,付款方式：现金或转账。</w:t>
      </w:r>
    </w:p>
    <w:p w14:paraId="165CEEE2">
      <w:pPr>
        <w:keepNext w:val="0"/>
        <w:keepLines w:val="0"/>
        <w:pageBreakBefore w:val="0"/>
        <w:widowControl w:val="0"/>
        <w:numPr>
          <w:ilvl w:val="0"/>
          <w:numId w:val="0"/>
        </w:numPr>
        <w:kinsoku/>
        <w:wordWrap/>
        <w:overflowPunct/>
        <w:topLinePunct w:val="0"/>
        <w:autoSpaceDN/>
        <w:bidi w:val="0"/>
        <w:adjustRightInd/>
        <w:snapToGrid/>
        <w:spacing w:line="500"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p>
    <w:p w14:paraId="7277CCDA">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账户：鹤山市昆仑旭日发展有限公司</w:t>
      </w:r>
    </w:p>
    <w:p w14:paraId="01DA1CD2">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 xml:space="preserve">账号：80020000008341783          </w:t>
      </w:r>
    </w:p>
    <w:p w14:paraId="315E67CF">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开户行：广东鹤山农村商业银行股份有限公司鹤城支行</w:t>
      </w:r>
    </w:p>
    <w:p w14:paraId="0C3F8E61">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p>
    <w:p w14:paraId="52A771A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如政府因城市建设需要拆迁、改造、企业改制、政府调配等政策或行政原因必须提前收回物业的，甲方提前15日通知乙方收回物业，通知送达乙方后合同终止，乙方应在15日内清理物品并将物业交回甲方。合同终止后，乙方没有违约情况的，甲方应当退还保证金，甲方不作其他任何补偿。</w:t>
      </w:r>
    </w:p>
    <w:p w14:paraId="26252AD6">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乙方租赁的物业，经营范围必须符合相关职能部门的有关规定，如超出经营范围所发生的一切责任，由乙方自行承担。</w:t>
      </w:r>
    </w:p>
    <w:p w14:paraId="5CAECA5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乙方逾期交租，每逾期一日，按拖欠租金金额的千分之二向甲方支付违约金。乙方拖欠租金达两个月，甲方有权终止本合同收回出租之物业。</w:t>
      </w:r>
    </w:p>
    <w:p w14:paraId="0245FADC">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物业租赁期间，出租物业的水电费、城镇管理费用、税费等各项有关费用由乙方承担。</w:t>
      </w:r>
    </w:p>
    <w:p w14:paraId="5CE4168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出租期间，乙方可根据经营需要进行装修，乙方必须按照镇规划制定具体规划设计方案，外立面改造需符合镇的打造要求，建设前报出租方审核。未经出租方同意建设方案自行开工的，将收回物业的使用权。建设时间：承租方需保证在与出租方签订合同后一个月内动工建设，建设工期不能超过12个月。如乙方未在一个月内动工建设或建设工期超过12个月，甲方可立即终止合同不予续租，没收保证金，收回出租之物业。不得改变物业的结构，如造成租用物业和设备的损毁，乙方应负责恢复原状或赔偿损失。出租物业使用期间如出现水管便道阻塞等结构性外的维修费用由乙方自行承担。</w:t>
      </w:r>
      <w:bookmarkStart w:id="0" w:name="_GoBack"/>
      <w:bookmarkEnd w:id="0"/>
    </w:p>
    <w:p w14:paraId="0FFFA4D9">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乙方在租赁期间，要按照消防要求，搞好消防设施，做到安全、文明使用租期内因违法违规引起的一切刑事责任、行政责任及民事责任均由乙方负责，一切与甲方无关。</w:t>
      </w:r>
    </w:p>
    <w:p w14:paraId="353161A6">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租赁期内，乙方必须依法经营。乙方有以下行为的，甲方可立即终止合同不予续租，没收保证金，收回出租之物业，追究相应责任，有权将乙方列入以后租赁黑名单，列入黑名单者不得再参与本公司相关租赁行为：</w:t>
      </w:r>
    </w:p>
    <w:p w14:paraId="73F5EF6E">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未经同意将承租物业擅自转租、转让、转借他人或调换使用的；</w:t>
      </w:r>
    </w:p>
    <w:p w14:paraId="2E4160B1">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未经同意将承租物业擅自拆改结构或改变用途的；</w:t>
      </w:r>
    </w:p>
    <w:p w14:paraId="4EB2D964">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累计拖欠租金、管理费或水电费2个月以上的；</w:t>
      </w:r>
    </w:p>
    <w:p w14:paraId="4A6A8542">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利用承租物业进行违法活动的；</w:t>
      </w:r>
    </w:p>
    <w:p w14:paraId="13977806">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故意损坏承租物业的；</w:t>
      </w:r>
    </w:p>
    <w:p w14:paraId="044C9522">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租赁合同期满不按约定退回物业的；</w:t>
      </w:r>
    </w:p>
    <w:p w14:paraId="6E898CD1">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对存在的安全隐患，不予整改或整改不合格的；</w:t>
      </w:r>
    </w:p>
    <w:p w14:paraId="2302D9B8">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法律、法规规定其他可以收回物业的情形。</w:t>
      </w:r>
    </w:p>
    <w:p w14:paraId="0414DAA1">
      <w:pPr>
        <w:keepNext w:val="0"/>
        <w:keepLines w:val="0"/>
        <w:pageBreakBefore w:val="0"/>
        <w:numPr>
          <w:ilvl w:val="0"/>
          <w:numId w:val="0"/>
        </w:numPr>
        <w:kinsoku/>
        <w:wordWrap/>
        <w:overflowPunct/>
        <w:topLinePunct w:val="0"/>
        <w:autoSpaceDN/>
        <w:bidi w:val="0"/>
        <w:adjustRightInd/>
        <w:snapToGrid/>
        <w:spacing w:line="500" w:lineRule="exact"/>
        <w:ind w:leftChars="200"/>
        <w:textAlignment w:val="auto"/>
        <w:rPr>
          <w:rFonts w:hint="default" w:ascii="方正仿宋_GB2312" w:hAnsi="方正仿宋_GB2312" w:eastAsia="方正仿宋_GB2312" w:cs="方正仿宋_GB2312"/>
          <w:color w:val="auto"/>
          <w:sz w:val="28"/>
          <w:szCs w:val="28"/>
          <w:highlight w:val="none"/>
          <w:lang w:val="en-US" w:eastAsia="zh-CN"/>
        </w:rPr>
      </w:pPr>
    </w:p>
    <w:p w14:paraId="2EFEFAA7">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在租约有效期内如提前终止合约，必须提前一个月向甲方提出书面申请。经甲方审核，租赁未满一年的，甲方将不退回租赁物业保证金，租赁满一年以上的，扣减两个月的租赁物业保证金作违约补偿。另外，乙方必须在一个月内迁出该承租物业并及时与甲方办理物业的一切移交手续，并付清已履行租约期内的租金及相关费用，否则将不退回物业保证金并追究相关法律责任。</w:t>
      </w:r>
    </w:p>
    <w:p w14:paraId="0A75DDF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凡在合同期满、按约定提前终止合同或乙方在合同期内违约致使合同提前终止，该物业的固定装修归甲方所有。合同期满如甲方的物业继续出租，乙方可通过公开竞价取得承租权。如非乙方竞得，乙方必须在一个月内迁出该承租物业并及时与甲方办理物业的一切移交手续，并付清已履行租约期内的租金及相关费用，否则将不退回物业保证金并追究相关法律责任。</w:t>
      </w:r>
    </w:p>
    <w:p w14:paraId="2BE537F7">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合同如有未尽事宜，可另行协商，协商达成的条款与本合同具有同等法律效力。协商不成的，双方均有权向鹤山市人民法院提起诉讼。因诉讼发生的一切费用（包括法院费用、律师费以及其它有关的费用）由败诉方承担。</w:t>
      </w:r>
    </w:p>
    <w:p w14:paraId="27846435">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本合同一式两份，甲乙双方各执一份，自签订之日起生效。</w:t>
      </w:r>
    </w:p>
    <w:p w14:paraId="755EE5E7">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注：本合同约定的固定装修，包括水电、门窗、天花等固有设施。</w:t>
      </w:r>
    </w:p>
    <w:p w14:paraId="0536775D">
      <w:pPr>
        <w:keepNext w:val="0"/>
        <w:keepLines w:val="0"/>
        <w:pageBreakBefore w:val="0"/>
        <w:numPr>
          <w:ilvl w:val="0"/>
          <w:numId w:val="0"/>
        </w:numPr>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color w:val="auto"/>
          <w:sz w:val="28"/>
          <w:szCs w:val="28"/>
          <w:highlight w:val="none"/>
          <w:lang w:val="en-US" w:eastAsia="zh-CN"/>
        </w:rPr>
      </w:pPr>
    </w:p>
    <w:p w14:paraId="417851D3">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附件： 1.甲方营业执照复印件</w:t>
      </w:r>
    </w:p>
    <w:p w14:paraId="184780E2">
      <w:pPr>
        <w:keepNext w:val="0"/>
        <w:keepLines w:val="0"/>
        <w:pageBreakBefore w:val="0"/>
        <w:numPr>
          <w:ilvl w:val="0"/>
          <w:numId w:val="0"/>
        </w:numPr>
        <w:kinsoku/>
        <w:wordWrap/>
        <w:overflowPunct/>
        <w:topLinePunct w:val="0"/>
        <w:autoSpaceDN/>
        <w:bidi w:val="0"/>
        <w:adjustRightInd/>
        <w:snapToGrid/>
        <w:spacing w:line="500" w:lineRule="exact"/>
        <w:ind w:left="420" w:leftChars="0" w:firstLine="1120" w:firstLineChars="4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2.甲方法定代表人身份证复印件</w:t>
      </w:r>
    </w:p>
    <w:p w14:paraId="733E2421">
      <w:pPr>
        <w:keepNext w:val="0"/>
        <w:keepLines w:val="0"/>
        <w:pageBreakBefore w:val="0"/>
        <w:numPr>
          <w:ilvl w:val="0"/>
          <w:numId w:val="0"/>
        </w:numPr>
        <w:kinsoku/>
        <w:wordWrap/>
        <w:overflowPunct/>
        <w:topLinePunct w:val="0"/>
        <w:autoSpaceDN/>
        <w:bidi w:val="0"/>
        <w:adjustRightInd/>
        <w:snapToGrid/>
        <w:spacing w:line="500" w:lineRule="exact"/>
        <w:ind w:firstLine="1534" w:firstLineChars="548"/>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3.乙方营业执照复印件</w:t>
      </w:r>
    </w:p>
    <w:p w14:paraId="5CE8D481">
      <w:pPr>
        <w:keepNext w:val="0"/>
        <w:keepLines w:val="0"/>
        <w:pageBreakBefore w:val="0"/>
        <w:numPr>
          <w:ilvl w:val="0"/>
          <w:numId w:val="0"/>
        </w:numPr>
        <w:kinsoku/>
        <w:wordWrap/>
        <w:overflowPunct/>
        <w:topLinePunct w:val="0"/>
        <w:autoSpaceDN/>
        <w:bidi w:val="0"/>
        <w:adjustRightInd/>
        <w:snapToGrid/>
        <w:spacing w:line="500" w:lineRule="exact"/>
        <w:ind w:firstLine="1534" w:firstLineChars="548"/>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4.乙方法定代表人身份证复印件</w:t>
      </w:r>
    </w:p>
    <w:p w14:paraId="69332912">
      <w:pPr>
        <w:keepNext w:val="0"/>
        <w:keepLines w:val="0"/>
        <w:pageBreakBefore w:val="0"/>
        <w:numPr>
          <w:ilvl w:val="0"/>
          <w:numId w:val="0"/>
        </w:numPr>
        <w:kinsoku/>
        <w:wordWrap/>
        <w:overflowPunct/>
        <w:topLinePunct w:val="0"/>
        <w:autoSpaceDE w:val="0"/>
        <w:autoSpaceDN/>
        <w:bidi w:val="0"/>
        <w:adjustRightInd/>
        <w:snapToGrid/>
        <w:spacing w:line="500" w:lineRule="exact"/>
        <w:ind w:leftChars="0" w:firstLine="1400" w:firstLineChars="500"/>
        <w:textAlignment w:val="auto"/>
        <w:rPr>
          <w:rFonts w:hint="eastAsia" w:ascii="宋体" w:hAnsi="宋体" w:eastAsia="宋体"/>
          <w:sz w:val="28"/>
          <w:szCs w:val="28"/>
          <w:highlight w:val="none"/>
          <w:lang w:eastAsia="zh-CN"/>
        </w:rPr>
      </w:pPr>
    </w:p>
    <w:p w14:paraId="01B8D60E">
      <w:pPr>
        <w:keepNext w:val="0"/>
        <w:keepLines w:val="0"/>
        <w:pageBreakBefore w:val="0"/>
        <w:numPr>
          <w:ilvl w:val="0"/>
          <w:numId w:val="0"/>
        </w:numPr>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lang w:eastAsia="zh-CN"/>
        </w:rPr>
      </w:pPr>
    </w:p>
    <w:p w14:paraId="0DCCA69C">
      <w:pPr>
        <w:keepNext w:val="0"/>
        <w:keepLines w:val="0"/>
        <w:pageBreakBefore w:val="0"/>
        <w:kinsoku/>
        <w:wordWrap/>
        <w:overflowPunct/>
        <w:topLinePunct w:val="0"/>
        <w:autoSpaceDE w:val="0"/>
        <w:autoSpaceDN/>
        <w:bidi w:val="0"/>
        <w:adjustRightInd/>
        <w:snapToGrid/>
        <w:spacing w:line="500" w:lineRule="exact"/>
        <w:ind w:firstLine="560" w:firstLineChars="200"/>
        <w:jc w:val="center"/>
        <w:textAlignment w:val="auto"/>
        <w:rPr>
          <w:rFonts w:hint="eastAsia" w:ascii="宋体" w:hAnsi="宋体"/>
          <w:sz w:val="28"/>
          <w:szCs w:val="28"/>
          <w:highlight w:val="none"/>
          <w:lang w:eastAsia="zh-CN"/>
        </w:rPr>
      </w:pPr>
    </w:p>
    <w:p w14:paraId="20CE66C7">
      <w:pPr>
        <w:rPr>
          <w:rFonts w:hint="eastAsia" w:ascii="宋体" w:hAnsi="宋体"/>
          <w:sz w:val="28"/>
          <w:szCs w:val="28"/>
          <w:highlight w:val="none"/>
          <w:lang w:eastAsia="zh-CN"/>
        </w:rPr>
      </w:pPr>
      <w:r>
        <w:rPr>
          <w:rFonts w:hint="eastAsia" w:ascii="宋体" w:hAnsi="宋体"/>
          <w:sz w:val="28"/>
          <w:szCs w:val="28"/>
          <w:highlight w:val="none"/>
          <w:lang w:eastAsia="zh-CN"/>
        </w:rPr>
        <w:br w:type="page"/>
      </w:r>
    </w:p>
    <w:p w14:paraId="5481ED8D">
      <w:pPr>
        <w:keepNext w:val="0"/>
        <w:keepLines w:val="0"/>
        <w:pageBreakBefore w:val="0"/>
        <w:kinsoku/>
        <w:wordWrap/>
        <w:overflowPunct/>
        <w:topLinePunct w:val="0"/>
        <w:autoSpaceDE w:val="0"/>
        <w:autoSpaceDN/>
        <w:bidi w:val="0"/>
        <w:adjustRightInd/>
        <w:snapToGrid/>
        <w:spacing w:line="500" w:lineRule="exact"/>
        <w:ind w:firstLine="560" w:firstLineChars="200"/>
        <w:jc w:val="center"/>
        <w:textAlignment w:val="auto"/>
        <w:rPr>
          <w:rFonts w:hint="eastAsia" w:ascii="宋体" w:hAnsi="宋体"/>
          <w:sz w:val="28"/>
          <w:szCs w:val="28"/>
          <w:highlight w:val="none"/>
          <w:lang w:eastAsia="zh-CN"/>
        </w:rPr>
      </w:pPr>
      <w:r>
        <w:rPr>
          <w:rFonts w:hint="eastAsia" w:ascii="宋体" w:hAnsi="宋体"/>
          <w:sz w:val="28"/>
          <w:szCs w:val="28"/>
          <w:highlight w:val="none"/>
          <w:lang w:eastAsia="zh-CN"/>
        </w:rPr>
        <w:t>（以下无正文，本页为签署页）</w:t>
      </w:r>
    </w:p>
    <w:p w14:paraId="5C3B774D">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lang w:eastAsia="zh-CN"/>
        </w:rPr>
      </w:pPr>
    </w:p>
    <w:p w14:paraId="4E08AC9D">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lang w:eastAsia="zh-CN"/>
        </w:rPr>
      </w:pPr>
    </w:p>
    <w:p w14:paraId="1FB753AF">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lang w:val="en-US" w:eastAsia="zh-CN"/>
        </w:rPr>
        <w:t>甲</w:t>
      </w:r>
      <w:r>
        <w:rPr>
          <w:rFonts w:hint="eastAsia" w:ascii="宋体" w:hAnsi="宋体"/>
          <w:sz w:val="28"/>
          <w:szCs w:val="28"/>
          <w:highlight w:val="none"/>
        </w:rPr>
        <w:t>方：</w:t>
      </w:r>
      <w:r>
        <w:rPr>
          <w:rFonts w:hint="eastAsia" w:ascii="宋体" w:hAnsi="宋体"/>
          <w:color w:val="auto"/>
          <w:sz w:val="28"/>
          <w:szCs w:val="28"/>
          <w:highlight w:val="none"/>
          <w:u w:val="none"/>
          <w:lang w:val="en-US" w:eastAsia="zh-CN"/>
        </w:rPr>
        <w:t>鹤山市昆仑旭日发展有限公司</w:t>
      </w:r>
      <w:r>
        <w:rPr>
          <w:rFonts w:hint="eastAsia" w:ascii="宋体" w:hAnsi="宋体"/>
          <w:sz w:val="28"/>
          <w:szCs w:val="28"/>
          <w:highlight w:val="none"/>
        </w:rPr>
        <w:t>（</w:t>
      </w:r>
      <w:r>
        <w:rPr>
          <w:rFonts w:hint="eastAsia" w:ascii="宋体" w:hAnsi="宋体"/>
          <w:sz w:val="28"/>
          <w:szCs w:val="28"/>
          <w:highlight w:val="none"/>
          <w:lang w:eastAsia="zh-CN"/>
        </w:rPr>
        <w:t>公章</w:t>
      </w:r>
      <w:r>
        <w:rPr>
          <w:rFonts w:hint="eastAsia" w:ascii="宋体" w:hAnsi="宋体"/>
          <w:sz w:val="28"/>
          <w:szCs w:val="28"/>
          <w:highlight w:val="none"/>
        </w:rPr>
        <w:t>）</w:t>
      </w:r>
    </w:p>
    <w:p w14:paraId="43E575D4">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法定代表人：</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（签名）</w:t>
      </w:r>
    </w:p>
    <w:p w14:paraId="3919E22D">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rPr>
      </w:pPr>
      <w:r>
        <w:rPr>
          <w:rFonts w:hint="eastAsia" w:ascii="宋体" w:hAnsi="宋体"/>
          <w:sz w:val="28"/>
          <w:szCs w:val="28"/>
          <w:highlight w:val="none"/>
        </w:rPr>
        <w:t xml:space="preserve">  </w:t>
      </w:r>
    </w:p>
    <w:p w14:paraId="60C8B06B">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 </w:t>
      </w:r>
    </w:p>
    <w:p w14:paraId="6C0E0A5B">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rPr>
      </w:pPr>
    </w:p>
    <w:p w14:paraId="5BF37C22">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lang w:val="en-US" w:eastAsia="zh-CN"/>
        </w:rPr>
        <w:t>乙</w:t>
      </w:r>
      <w:r>
        <w:rPr>
          <w:rFonts w:hint="eastAsia" w:ascii="宋体" w:hAnsi="宋体"/>
          <w:sz w:val="28"/>
          <w:szCs w:val="28"/>
          <w:highlight w:val="none"/>
        </w:rPr>
        <w:t>方：</w:t>
      </w:r>
      <w:r>
        <w:rPr>
          <w:rFonts w:hint="eastAsia" w:ascii="宋体" w:hAnsi="宋体"/>
          <w:color w:val="auto"/>
          <w:sz w:val="28"/>
          <w:szCs w:val="28"/>
          <w:highlight w:val="none"/>
          <w:u w:val="single"/>
          <w:lang w:val="en-US" w:eastAsia="zh-CN"/>
        </w:rPr>
        <w:t xml:space="preserve">                          </w:t>
      </w:r>
      <w:r>
        <w:rPr>
          <w:rFonts w:hint="eastAsia" w:ascii="宋体" w:hAnsi="宋体"/>
          <w:sz w:val="28"/>
          <w:szCs w:val="28"/>
          <w:highlight w:val="none"/>
        </w:rPr>
        <w:t>（</w:t>
      </w:r>
      <w:r>
        <w:rPr>
          <w:rFonts w:hint="eastAsia" w:ascii="宋体" w:hAnsi="宋体"/>
          <w:sz w:val="28"/>
          <w:szCs w:val="28"/>
          <w:highlight w:val="none"/>
          <w:lang w:eastAsia="zh-CN"/>
        </w:rPr>
        <w:t>公章</w:t>
      </w:r>
      <w:r>
        <w:rPr>
          <w:rFonts w:hint="eastAsia" w:ascii="宋体" w:hAnsi="宋体"/>
          <w:sz w:val="28"/>
          <w:szCs w:val="28"/>
          <w:highlight w:val="none"/>
        </w:rPr>
        <w:t>）</w:t>
      </w:r>
    </w:p>
    <w:p w14:paraId="6BF0FD44">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法定代表人：</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（签名）</w:t>
      </w:r>
    </w:p>
    <w:p w14:paraId="01BC2388">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rPr>
      </w:pPr>
      <w:r>
        <w:rPr>
          <w:rFonts w:hint="eastAsia" w:ascii="宋体" w:hAnsi="宋体"/>
          <w:sz w:val="28"/>
          <w:szCs w:val="28"/>
          <w:highlight w:val="none"/>
        </w:rPr>
        <w:t xml:space="preserve">  </w:t>
      </w:r>
    </w:p>
    <w:p w14:paraId="5CDD3A97">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u w:val="single"/>
        </w:rPr>
      </w:pPr>
    </w:p>
    <w:p w14:paraId="68C582E5">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u w:val="single"/>
        </w:rPr>
      </w:pPr>
    </w:p>
    <w:p w14:paraId="0817061B">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u w:val="single"/>
        </w:rPr>
      </w:pPr>
    </w:p>
    <w:p w14:paraId="5D800A64">
      <w:pPr>
        <w:keepNext w:val="0"/>
        <w:keepLines w:val="0"/>
        <w:pageBreakBefore w:val="0"/>
        <w:kinsoku/>
        <w:wordWrap/>
        <w:overflowPunct/>
        <w:topLinePunct w:val="0"/>
        <w:autoSpaceDE w:val="0"/>
        <w:autoSpaceDN/>
        <w:bidi w:val="0"/>
        <w:adjustRightInd/>
        <w:snapToGrid/>
        <w:spacing w:line="500" w:lineRule="exact"/>
        <w:ind w:firstLine="1680" w:firstLineChars="600"/>
        <w:jc w:val="both"/>
        <w:textAlignment w:val="auto"/>
        <w:rPr>
          <w:rFonts w:hint="eastAsia" w:ascii="宋体" w:hAnsi="宋体"/>
          <w:sz w:val="28"/>
          <w:szCs w:val="28"/>
          <w:highlight w:val="none"/>
        </w:rPr>
      </w:pPr>
    </w:p>
    <w:p w14:paraId="2A8C048D">
      <w:pPr>
        <w:keepNext w:val="0"/>
        <w:keepLines w:val="0"/>
        <w:pageBreakBefore w:val="0"/>
        <w:kinsoku/>
        <w:wordWrap/>
        <w:overflowPunct/>
        <w:topLinePunct w:val="0"/>
        <w:autoSpaceDE w:val="0"/>
        <w:autoSpaceDN/>
        <w:bidi w:val="0"/>
        <w:adjustRightInd/>
        <w:snapToGrid/>
        <w:spacing w:line="500" w:lineRule="exact"/>
        <w:ind w:firstLine="1680" w:firstLineChars="600"/>
        <w:jc w:val="both"/>
        <w:textAlignment w:val="auto"/>
        <w:rPr>
          <w:rFonts w:hint="eastAsia" w:ascii="宋体" w:hAnsi="宋体"/>
          <w:sz w:val="28"/>
          <w:szCs w:val="28"/>
          <w:highlight w:val="none"/>
        </w:rPr>
      </w:pPr>
    </w:p>
    <w:p w14:paraId="233DF680">
      <w:pPr>
        <w:jc w:val="center"/>
        <w:rPr>
          <w:highlight w:val="none"/>
        </w:rPr>
      </w:pPr>
      <w:r>
        <w:rPr>
          <w:rFonts w:hint="eastAsia" w:ascii="宋体" w:hAnsi="宋体"/>
          <w:sz w:val="28"/>
          <w:szCs w:val="28"/>
          <w:highlight w:val="none"/>
          <w:lang w:eastAsia="zh-CN"/>
        </w:rPr>
        <w:t>合同签署</w:t>
      </w:r>
      <w:r>
        <w:rPr>
          <w:rFonts w:hint="eastAsia" w:ascii="宋体" w:hAnsi="宋体"/>
          <w:sz w:val="28"/>
          <w:szCs w:val="28"/>
          <w:highlight w:val="none"/>
        </w:rPr>
        <w:t>日期：202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none"/>
          <w:lang w:val="en-US" w:eastAsia="zh-CN"/>
        </w:rPr>
        <w:t>日</w:t>
      </w:r>
    </w:p>
    <w:p w14:paraId="65823A97">
      <w:pPr>
        <w:keepNext w:val="0"/>
        <w:keepLines w:val="0"/>
        <w:pageBreakBefore w:val="0"/>
        <w:kinsoku/>
        <w:wordWrap/>
        <w:overflowPunct/>
        <w:topLinePunct w:val="0"/>
        <w:autoSpaceDN/>
        <w:bidi w:val="0"/>
        <w:adjustRightInd/>
        <w:snapToGrid/>
        <w:spacing w:line="460" w:lineRule="exact"/>
        <w:ind w:firstLine="2240" w:firstLineChars="800"/>
        <w:textAlignment w:val="auto"/>
        <w:rPr>
          <w:rFonts w:hint="eastAsia" w:ascii="宋体" w:hAnsi="宋体"/>
          <w:sz w:val="28"/>
          <w:szCs w:val="28"/>
          <w:highlight w:val="none"/>
        </w:rPr>
      </w:pPr>
    </w:p>
    <w:p w14:paraId="65B08A53">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3666E2FA-3C34-4145-A940-644F7A96051C}"/>
  </w:font>
  <w:font w:name="方正仿宋_GB2312">
    <w:panose1 w:val="02000000000000000000"/>
    <w:charset w:val="86"/>
    <w:family w:val="auto"/>
    <w:pitch w:val="default"/>
    <w:sig w:usb0="A00002BF" w:usb1="184F6CFA" w:usb2="00000012" w:usb3="00000000" w:csb0="00040001" w:csb1="00000000"/>
    <w:embedRegular r:id="rId2" w:fontKey="{ABBCA3F5-E86A-4010-8FBC-69314BE43995}"/>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36DA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11A0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311A0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A1E2E"/>
    <w:multiLevelType w:val="singleLevel"/>
    <w:tmpl w:val="AAAA1E2E"/>
    <w:lvl w:ilvl="0" w:tentative="0">
      <w:start w:val="1"/>
      <w:numFmt w:val="decimal"/>
      <w:suff w:val="nothing"/>
      <w:lvlText w:val="%1、"/>
      <w:lvlJc w:val="left"/>
      <w:pPr>
        <w:ind w:left="0" w:firstLine="40"/>
      </w:pPr>
    </w:lvl>
  </w:abstractNum>
  <w:abstractNum w:abstractNumId="1">
    <w:nsid w:val="10AB8B32"/>
    <w:multiLevelType w:val="singleLevel"/>
    <w:tmpl w:val="10AB8B3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ZGJmZDI0Y2JmYzExNGJmNzc5MGI2Y2FkMzEyMjcifQ=="/>
  </w:docVars>
  <w:rsids>
    <w:rsidRoot w:val="0111700D"/>
    <w:rsid w:val="00501EE6"/>
    <w:rsid w:val="0111700D"/>
    <w:rsid w:val="012A166E"/>
    <w:rsid w:val="01533FD1"/>
    <w:rsid w:val="01C51AD1"/>
    <w:rsid w:val="02DA55E1"/>
    <w:rsid w:val="03151325"/>
    <w:rsid w:val="032C4E71"/>
    <w:rsid w:val="039659CA"/>
    <w:rsid w:val="05AA4073"/>
    <w:rsid w:val="05F459E0"/>
    <w:rsid w:val="09385A3F"/>
    <w:rsid w:val="095169EE"/>
    <w:rsid w:val="0A6003AC"/>
    <w:rsid w:val="0C5745FC"/>
    <w:rsid w:val="0D313DFA"/>
    <w:rsid w:val="0DE86A35"/>
    <w:rsid w:val="0E201B3A"/>
    <w:rsid w:val="0F24533C"/>
    <w:rsid w:val="10042CED"/>
    <w:rsid w:val="10951021"/>
    <w:rsid w:val="11EC3A38"/>
    <w:rsid w:val="11F50B3F"/>
    <w:rsid w:val="135D699C"/>
    <w:rsid w:val="139506A0"/>
    <w:rsid w:val="14151024"/>
    <w:rsid w:val="153656F6"/>
    <w:rsid w:val="169119C3"/>
    <w:rsid w:val="17E82256"/>
    <w:rsid w:val="17F012A6"/>
    <w:rsid w:val="195E346D"/>
    <w:rsid w:val="19715749"/>
    <w:rsid w:val="19DC4392"/>
    <w:rsid w:val="1C3109C5"/>
    <w:rsid w:val="1C463F79"/>
    <w:rsid w:val="1D997488"/>
    <w:rsid w:val="1F703EFB"/>
    <w:rsid w:val="21022988"/>
    <w:rsid w:val="21470C8B"/>
    <w:rsid w:val="237E37B3"/>
    <w:rsid w:val="23E629DD"/>
    <w:rsid w:val="25D030F3"/>
    <w:rsid w:val="28070DC1"/>
    <w:rsid w:val="294F73AC"/>
    <w:rsid w:val="2ADE440E"/>
    <w:rsid w:val="2BE17D66"/>
    <w:rsid w:val="2D5D5983"/>
    <w:rsid w:val="2F277C14"/>
    <w:rsid w:val="31B13210"/>
    <w:rsid w:val="31C559E0"/>
    <w:rsid w:val="349B385A"/>
    <w:rsid w:val="34EC3EA5"/>
    <w:rsid w:val="356D0868"/>
    <w:rsid w:val="35F145B1"/>
    <w:rsid w:val="373A4F82"/>
    <w:rsid w:val="389D3FB8"/>
    <w:rsid w:val="392B2D18"/>
    <w:rsid w:val="3A0D4EF5"/>
    <w:rsid w:val="3A606F00"/>
    <w:rsid w:val="3A72247D"/>
    <w:rsid w:val="3AAF36D1"/>
    <w:rsid w:val="3B143534"/>
    <w:rsid w:val="3C8B3CCA"/>
    <w:rsid w:val="3C942B7F"/>
    <w:rsid w:val="3D2A705A"/>
    <w:rsid w:val="3E80576E"/>
    <w:rsid w:val="3EEC3774"/>
    <w:rsid w:val="3F520BF1"/>
    <w:rsid w:val="407531C8"/>
    <w:rsid w:val="43A55671"/>
    <w:rsid w:val="452277C9"/>
    <w:rsid w:val="47E81FD1"/>
    <w:rsid w:val="486D49F1"/>
    <w:rsid w:val="4A3A432A"/>
    <w:rsid w:val="4F9C343B"/>
    <w:rsid w:val="503830A0"/>
    <w:rsid w:val="507017C5"/>
    <w:rsid w:val="507F31CA"/>
    <w:rsid w:val="51870AAC"/>
    <w:rsid w:val="52377DDC"/>
    <w:rsid w:val="529D40EF"/>
    <w:rsid w:val="53C733E2"/>
    <w:rsid w:val="53D80D0A"/>
    <w:rsid w:val="54A557A9"/>
    <w:rsid w:val="56486A5C"/>
    <w:rsid w:val="57EB0510"/>
    <w:rsid w:val="59DB773E"/>
    <w:rsid w:val="5AAC50E0"/>
    <w:rsid w:val="5D4949E8"/>
    <w:rsid w:val="5E23397E"/>
    <w:rsid w:val="5E714BE5"/>
    <w:rsid w:val="5E96349B"/>
    <w:rsid w:val="60151531"/>
    <w:rsid w:val="609D4491"/>
    <w:rsid w:val="638766EA"/>
    <w:rsid w:val="63A252D2"/>
    <w:rsid w:val="63A95B41"/>
    <w:rsid w:val="64763C76"/>
    <w:rsid w:val="66E634DC"/>
    <w:rsid w:val="67C1041C"/>
    <w:rsid w:val="6807760F"/>
    <w:rsid w:val="6846709D"/>
    <w:rsid w:val="6A04125B"/>
    <w:rsid w:val="6A366FE5"/>
    <w:rsid w:val="6D5D7258"/>
    <w:rsid w:val="6E037C93"/>
    <w:rsid w:val="6E907D7B"/>
    <w:rsid w:val="6F441490"/>
    <w:rsid w:val="6FB170AB"/>
    <w:rsid w:val="702D2505"/>
    <w:rsid w:val="72104574"/>
    <w:rsid w:val="741932F0"/>
    <w:rsid w:val="75282329"/>
    <w:rsid w:val="755328D0"/>
    <w:rsid w:val="75C15722"/>
    <w:rsid w:val="7868111E"/>
    <w:rsid w:val="78891143"/>
    <w:rsid w:val="790B333A"/>
    <w:rsid w:val="791365FE"/>
    <w:rsid w:val="7AB349DD"/>
    <w:rsid w:val="7AEC5358"/>
    <w:rsid w:val="7C190FDC"/>
    <w:rsid w:val="7CDB7433"/>
    <w:rsid w:val="7D034BDB"/>
    <w:rsid w:val="7E4D645D"/>
    <w:rsid w:val="7E7A0ECD"/>
    <w:rsid w:val="7F286B7B"/>
    <w:rsid w:val="7FF732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footer"/>
    <w:basedOn w:val="1"/>
    <w:autoRedefine/>
    <w:semiHidden/>
    <w:unhideWhenUsed/>
    <w:qFormat/>
    <w:uiPriority w:val="99"/>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p0"/>
    <w:basedOn w:val="1"/>
    <w:autoRedefine/>
    <w:qFormat/>
    <w:uiPriority w:val="0"/>
    <w:pPr>
      <w:widowControl/>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1882</Words>
  <Characters>1919</Characters>
  <Lines>0</Lines>
  <Paragraphs>0</Paragraphs>
  <TotalTime>0</TotalTime>
  <ScaleCrop>false</ScaleCrop>
  <LinksUpToDate>false</LinksUpToDate>
  <CharactersWithSpaces>2169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2023-11-28T07:07:00Z</dcterms:created>
  <dc:creator>qquser</dc:creator>
  <cp:lastModifiedBy>Jane.Ho</cp:lastModifiedBy>
  <cp:lastPrinted>2024-12-24T00:47:00Z</cp:lastPrinted>
  <dcterms:modified xsi:type="dcterms:W3CDTF">2025-07-15T07:40:21Z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D0B2CE9E1E9043CAA05EB7E2761B4CEF_13</vt:lpwstr>
  </property>
  <property fmtid="{D5CDD505-2E9C-101B-9397-08002B2CF9AE}" pid="4" name="KSOTemplateDocerSaveRecord">
    <vt:lpwstr>eyJoZGlkIjoiMTkwZGJmZDI0Y2JmYzExNGJmNzc5MGI2Y2FkMzEyMjciLCJ1c2VySWQiOiI1MDE5ODk2ODQifQ==</vt:lpwstr>
  </property>
</Properties>
</file>