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49C6A">
      <w:pPr>
        <w:widowControl/>
        <w:spacing w:line="360" w:lineRule="auto"/>
        <w:ind w:firstLine="640" w:firstLineChars="200"/>
        <w:jc w:val="center"/>
        <w:rPr>
          <w:rFonts w:ascii="方正小标宋简体" w:hAnsi="仿宋" w:eastAsia="方正小标宋简体" w:cs="方正仿宋简体"/>
          <w:sz w:val="32"/>
          <w:szCs w:val="32"/>
        </w:rPr>
      </w:pPr>
      <w:r>
        <w:rPr>
          <w:rFonts w:hint="eastAsia" w:ascii="方正小标宋简体" w:hAnsi="仿宋" w:eastAsia="方正小标宋简体" w:cs="方正仿宋简体"/>
          <w:sz w:val="32"/>
          <w:szCs w:val="32"/>
        </w:rPr>
        <w:t>鹤山市食品用非复合膜袋质量安全监督抽查实施细则（202</w:t>
      </w:r>
      <w:r>
        <w:rPr>
          <w:rFonts w:hint="eastAsia" w:ascii="方正小标宋简体" w:hAnsi="仿宋" w:eastAsia="方正小标宋简体" w:cs="方正仿宋简体"/>
          <w:sz w:val="32"/>
          <w:szCs w:val="32"/>
          <w:lang w:val="en-US" w:eastAsia="zh-CN"/>
        </w:rPr>
        <w:t>5</w:t>
      </w:r>
      <w:r>
        <w:rPr>
          <w:rFonts w:hint="eastAsia" w:ascii="方正小标宋简体" w:hAnsi="仿宋" w:eastAsia="方正小标宋简体" w:cs="方正仿宋简体"/>
          <w:sz w:val="32"/>
          <w:szCs w:val="32"/>
        </w:rPr>
        <w:t>年版）</w:t>
      </w:r>
    </w:p>
    <w:p w14:paraId="17AD8657">
      <w:pPr>
        <w:widowControl/>
        <w:spacing w:line="360" w:lineRule="auto"/>
        <w:ind w:firstLine="420" w:firstLineChars="200"/>
        <w:jc w:val="left"/>
        <w:rPr>
          <w:rFonts w:ascii="宋体" w:hAnsi="宋体"/>
          <w:szCs w:val="21"/>
        </w:rPr>
      </w:pPr>
      <w:r>
        <w:rPr>
          <w:rFonts w:hint="eastAsia" w:ascii="宋体" w:hAnsi="宋体"/>
          <w:szCs w:val="21"/>
        </w:rPr>
        <w:t>本细则适用于鹤山市生产环节中食品用非复合膜袋的市级监督抽查。</w:t>
      </w:r>
    </w:p>
    <w:p w14:paraId="3E4F871F">
      <w:pPr>
        <w:snapToGrid w:val="0"/>
        <w:spacing w:line="360" w:lineRule="auto"/>
        <w:rPr>
          <w:b/>
          <w:sz w:val="24"/>
        </w:rPr>
      </w:pPr>
      <w:r>
        <w:rPr>
          <w:rFonts w:hint="eastAsia"/>
          <w:b/>
          <w:sz w:val="24"/>
        </w:rPr>
        <w:t>1、抽样方法</w:t>
      </w:r>
    </w:p>
    <w:p w14:paraId="4DE4078B">
      <w:pPr>
        <w:snapToGrid w:val="0"/>
        <w:spacing w:line="440" w:lineRule="exact"/>
        <w:ind w:firstLine="420" w:firstLineChars="200"/>
        <w:rPr>
          <w:szCs w:val="21"/>
        </w:rPr>
      </w:pPr>
      <w:r>
        <w:rPr>
          <w:rFonts w:hint="eastAsia"/>
          <w:szCs w:val="21"/>
        </w:rPr>
        <w:t>以随机抽样的方式在被抽样经营者的待销售（或待使用）产品中抽取。</w:t>
      </w:r>
    </w:p>
    <w:p w14:paraId="47EBEB94">
      <w:pPr>
        <w:snapToGrid w:val="0"/>
        <w:spacing w:line="440" w:lineRule="exact"/>
        <w:ind w:firstLine="420" w:firstLineChars="200"/>
        <w:rPr>
          <w:szCs w:val="21"/>
        </w:rPr>
      </w:pPr>
      <w:r>
        <w:rPr>
          <w:rFonts w:hint="eastAsia"/>
          <w:szCs w:val="21"/>
        </w:rPr>
        <w:t>机数一般可使用随机数表等方法产生。</w:t>
      </w:r>
    </w:p>
    <w:p w14:paraId="5E5A5D7D">
      <w:pPr>
        <w:snapToGrid w:val="0"/>
        <w:spacing w:line="440" w:lineRule="exact"/>
        <w:ind w:firstLine="420" w:firstLineChars="200"/>
        <w:rPr>
          <w:rFonts w:hint="eastAsia"/>
          <w:szCs w:val="21"/>
        </w:rPr>
      </w:pPr>
      <w:r>
        <w:rPr>
          <w:rFonts w:hint="eastAsia"/>
          <w:szCs w:val="21"/>
        </w:rPr>
        <w:t>膜类产品：每批次产品抽取3卷，将每卷膜外层除去2m，每卷膜各抽取</w:t>
      </w:r>
      <w:r>
        <w:rPr>
          <w:rFonts w:hint="eastAsia"/>
          <w:szCs w:val="21"/>
          <w:lang w:val="en-US" w:eastAsia="zh-CN"/>
        </w:rPr>
        <w:t>1</w:t>
      </w:r>
      <w:r>
        <w:rPr>
          <w:rFonts w:ascii="宋体" w:hAnsi="宋体"/>
        </w:rPr>
        <w:t>m</w:t>
      </w:r>
      <w:r>
        <w:rPr>
          <w:rFonts w:ascii="宋体" w:hAnsi="宋体"/>
          <w:vertAlign w:val="superscript"/>
        </w:rPr>
        <w:t>2</w:t>
      </w:r>
      <w:r>
        <w:rPr>
          <w:rFonts w:hint="eastAsia"/>
          <w:szCs w:val="21"/>
        </w:rPr>
        <w:t>，其中2份作为检验样品，1份作为备用样品；</w:t>
      </w:r>
    </w:p>
    <w:p w14:paraId="7DD15C1D">
      <w:pPr>
        <w:snapToGrid w:val="0"/>
        <w:spacing w:line="440" w:lineRule="exact"/>
        <w:ind w:firstLine="420" w:firstLineChars="200"/>
        <w:rPr>
          <w:rFonts w:hint="eastAsia"/>
          <w:szCs w:val="21"/>
        </w:rPr>
      </w:pPr>
      <w:r>
        <w:rPr>
          <w:rFonts w:hint="eastAsia"/>
          <w:szCs w:val="21"/>
        </w:rPr>
        <w:t>袋类产品：每批次产品抽取3箱，每箱中各抽取20个，其中40个作为检验样品，20个作为备用样品；</w:t>
      </w:r>
    </w:p>
    <w:p w14:paraId="2E3FB8D6">
      <w:pPr>
        <w:snapToGrid w:val="0"/>
        <w:spacing w:line="440" w:lineRule="exact"/>
        <w:ind w:firstLine="420" w:firstLineChars="200"/>
        <w:rPr>
          <w:szCs w:val="21"/>
        </w:rPr>
      </w:pPr>
      <w:r>
        <w:rPr>
          <w:rFonts w:hint="eastAsia"/>
          <w:szCs w:val="21"/>
        </w:rPr>
        <w:t>保鲜膜类产品：每批次产品抽取3卷，其中2卷作为检验样品，1卷作为备用样品。</w:t>
      </w:r>
    </w:p>
    <w:p w14:paraId="4DF76912">
      <w:pPr>
        <w:snapToGrid w:val="0"/>
        <w:spacing w:line="360" w:lineRule="auto"/>
        <w:rPr>
          <w:rFonts w:hint="eastAsia"/>
          <w:b/>
          <w:sz w:val="24"/>
        </w:rPr>
      </w:pPr>
      <w:r>
        <w:rPr>
          <w:rFonts w:hint="eastAsia"/>
          <w:b/>
          <w:sz w:val="24"/>
        </w:rPr>
        <w:t>2、检验依据</w:t>
      </w:r>
    </w:p>
    <w:p w14:paraId="0F59D85C">
      <w:pPr>
        <w:snapToGrid w:val="0"/>
        <w:spacing w:line="360" w:lineRule="auto"/>
        <w:jc w:val="center"/>
        <w:rPr>
          <w:b/>
          <w:sz w:val="24"/>
        </w:rPr>
      </w:pPr>
      <w:r>
        <w:rPr>
          <w:rFonts w:hint="eastAsia"/>
          <w:szCs w:val="21"/>
        </w:rPr>
        <w:t>表1  食品用非复合膜袋检验项目</w:t>
      </w:r>
    </w:p>
    <w:tbl>
      <w:tblPr>
        <w:tblStyle w:val="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805"/>
        <w:gridCol w:w="1863"/>
        <w:gridCol w:w="1995"/>
        <w:gridCol w:w="1559"/>
      </w:tblGrid>
      <w:tr w14:paraId="0988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14:paraId="4E499807">
            <w:pPr>
              <w:jc w:val="center"/>
              <w:outlineLvl w:val="0"/>
              <w:rPr>
                <w:rFonts w:ascii="宋体" w:hAnsi="宋体"/>
                <w:b/>
                <w:szCs w:val="21"/>
              </w:rPr>
            </w:pPr>
            <w:r>
              <w:rPr>
                <w:rFonts w:hint="eastAsia" w:ascii="宋体" w:hAnsi="宋体"/>
                <w:b/>
                <w:szCs w:val="21"/>
              </w:rPr>
              <w:t>序号</w:t>
            </w:r>
          </w:p>
        </w:tc>
        <w:tc>
          <w:tcPr>
            <w:tcW w:w="2805" w:type="dxa"/>
            <w:tcBorders>
              <w:top w:val="single" w:color="auto" w:sz="4" w:space="0"/>
              <w:left w:val="single" w:color="auto" w:sz="4" w:space="0"/>
              <w:bottom w:val="single" w:color="auto" w:sz="4" w:space="0"/>
              <w:right w:val="single" w:color="auto" w:sz="4" w:space="0"/>
            </w:tcBorders>
            <w:vAlign w:val="center"/>
          </w:tcPr>
          <w:p w14:paraId="2C0C1DB5">
            <w:pPr>
              <w:jc w:val="center"/>
              <w:outlineLvl w:val="0"/>
              <w:rPr>
                <w:rFonts w:ascii="宋体" w:hAnsi="宋体"/>
                <w:b/>
                <w:szCs w:val="21"/>
              </w:rPr>
            </w:pPr>
            <w:r>
              <w:rPr>
                <w:rFonts w:hint="eastAsia" w:ascii="宋体" w:hAnsi="宋体"/>
                <w:b/>
                <w:szCs w:val="21"/>
              </w:rPr>
              <w:t>检验项目</w:t>
            </w:r>
          </w:p>
        </w:tc>
        <w:tc>
          <w:tcPr>
            <w:tcW w:w="1863" w:type="dxa"/>
            <w:tcBorders>
              <w:top w:val="single" w:color="auto" w:sz="4" w:space="0"/>
              <w:left w:val="single" w:color="auto" w:sz="4" w:space="0"/>
              <w:bottom w:val="single" w:color="auto" w:sz="4" w:space="0"/>
              <w:right w:val="single" w:color="auto" w:sz="4" w:space="0"/>
            </w:tcBorders>
            <w:vAlign w:val="center"/>
          </w:tcPr>
          <w:p w14:paraId="5B80F3E1">
            <w:pPr>
              <w:jc w:val="center"/>
              <w:outlineLvl w:val="0"/>
              <w:rPr>
                <w:rFonts w:ascii="宋体" w:hAnsi="宋体"/>
                <w:b/>
                <w:szCs w:val="21"/>
              </w:rPr>
            </w:pPr>
            <w:r>
              <w:rPr>
                <w:rFonts w:hint="eastAsia" w:ascii="宋体" w:hAnsi="宋体"/>
                <w:b/>
                <w:szCs w:val="21"/>
              </w:rPr>
              <w:t>检验依据</w:t>
            </w:r>
          </w:p>
        </w:tc>
        <w:tc>
          <w:tcPr>
            <w:tcW w:w="1995" w:type="dxa"/>
            <w:tcBorders>
              <w:top w:val="single" w:color="auto" w:sz="4" w:space="0"/>
              <w:left w:val="single" w:color="auto" w:sz="4" w:space="0"/>
              <w:bottom w:val="single" w:color="auto" w:sz="4" w:space="0"/>
              <w:right w:val="single" w:color="auto" w:sz="4" w:space="0"/>
            </w:tcBorders>
            <w:vAlign w:val="center"/>
          </w:tcPr>
          <w:p w14:paraId="32A5EA6C">
            <w:pPr>
              <w:jc w:val="center"/>
              <w:outlineLvl w:val="0"/>
              <w:rPr>
                <w:rFonts w:ascii="宋体" w:hAnsi="宋体"/>
                <w:b/>
                <w:szCs w:val="21"/>
              </w:rPr>
            </w:pPr>
            <w:r>
              <w:rPr>
                <w:rFonts w:hint="eastAsia" w:ascii="宋体" w:hAnsi="宋体"/>
                <w:b/>
                <w:szCs w:val="21"/>
              </w:rPr>
              <w:t>检验方法</w:t>
            </w:r>
          </w:p>
        </w:tc>
        <w:tc>
          <w:tcPr>
            <w:tcW w:w="1559" w:type="dxa"/>
            <w:tcBorders>
              <w:top w:val="single" w:color="auto" w:sz="4" w:space="0"/>
              <w:left w:val="single" w:color="auto" w:sz="4" w:space="0"/>
              <w:bottom w:val="single" w:color="auto" w:sz="4" w:space="0"/>
              <w:right w:val="single" w:color="auto" w:sz="4" w:space="0"/>
            </w:tcBorders>
            <w:vAlign w:val="center"/>
          </w:tcPr>
          <w:p w14:paraId="57B2380A">
            <w:pPr>
              <w:jc w:val="center"/>
              <w:outlineLvl w:val="0"/>
              <w:rPr>
                <w:rFonts w:ascii="宋体" w:hAnsi="宋体"/>
                <w:b/>
                <w:szCs w:val="21"/>
              </w:rPr>
            </w:pPr>
            <w:r>
              <w:rPr>
                <w:rFonts w:hint="eastAsia" w:ascii="宋体" w:hAnsi="宋体"/>
                <w:b/>
                <w:szCs w:val="21"/>
              </w:rPr>
              <w:t>备注</w:t>
            </w:r>
          </w:p>
        </w:tc>
      </w:tr>
      <w:tr w14:paraId="2976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830A703">
            <w:pPr>
              <w:jc w:val="center"/>
              <w:outlineLvl w:val="0"/>
              <w:rPr>
                <w:rFonts w:cs="宋体"/>
                <w:szCs w:val="21"/>
              </w:rPr>
            </w:pPr>
            <w:r>
              <w:rPr>
                <w:rFonts w:hint="eastAsia" w:cs="宋体"/>
                <w:szCs w:val="21"/>
              </w:rPr>
              <w:t>1</w:t>
            </w:r>
          </w:p>
        </w:tc>
        <w:tc>
          <w:tcPr>
            <w:tcW w:w="2805" w:type="dxa"/>
            <w:tcBorders>
              <w:top w:val="single" w:color="auto" w:sz="4" w:space="0"/>
              <w:left w:val="single" w:color="auto" w:sz="4" w:space="0"/>
              <w:bottom w:val="single" w:color="auto" w:sz="4" w:space="0"/>
              <w:right w:val="single" w:color="auto" w:sz="4" w:space="0"/>
            </w:tcBorders>
            <w:vAlign w:val="center"/>
          </w:tcPr>
          <w:p w14:paraId="42B40614">
            <w:pPr>
              <w:jc w:val="center"/>
              <w:outlineLvl w:val="0"/>
              <w:rPr>
                <w:rFonts w:cs="宋体"/>
                <w:szCs w:val="21"/>
              </w:rPr>
            </w:pPr>
            <w:r>
              <w:rPr>
                <w:rFonts w:hint="eastAsia" w:cs="宋体"/>
                <w:szCs w:val="21"/>
              </w:rPr>
              <w:t>感官要求</w:t>
            </w:r>
          </w:p>
        </w:tc>
        <w:tc>
          <w:tcPr>
            <w:tcW w:w="1863" w:type="dxa"/>
            <w:tcBorders>
              <w:top w:val="single" w:color="auto" w:sz="4" w:space="0"/>
              <w:left w:val="single" w:color="auto" w:sz="4" w:space="0"/>
              <w:right w:val="single" w:color="auto" w:sz="4" w:space="0"/>
            </w:tcBorders>
            <w:vAlign w:val="center"/>
          </w:tcPr>
          <w:p w14:paraId="253E5B02">
            <w:pPr>
              <w:jc w:val="center"/>
              <w:outlineLvl w:val="0"/>
              <w:rPr>
                <w:rFonts w:cs="宋体"/>
                <w:szCs w:val="21"/>
              </w:rPr>
            </w:pPr>
            <w:r>
              <w:rPr>
                <w:rFonts w:hint="eastAsia" w:cs="宋体"/>
                <w:szCs w:val="21"/>
              </w:rPr>
              <w:t>GB 4806.7-2023</w:t>
            </w:r>
          </w:p>
        </w:tc>
        <w:tc>
          <w:tcPr>
            <w:tcW w:w="1995" w:type="dxa"/>
            <w:tcBorders>
              <w:top w:val="single" w:color="auto" w:sz="4" w:space="0"/>
              <w:left w:val="single" w:color="auto" w:sz="4" w:space="0"/>
              <w:bottom w:val="single" w:color="auto" w:sz="4" w:space="0"/>
              <w:right w:val="single" w:color="auto" w:sz="4" w:space="0"/>
            </w:tcBorders>
            <w:vAlign w:val="center"/>
          </w:tcPr>
          <w:p w14:paraId="2743A214">
            <w:pPr>
              <w:jc w:val="center"/>
            </w:pPr>
            <w:r>
              <w:rPr>
                <w:rFonts w:hint="eastAsia" w:cs="宋体"/>
                <w:szCs w:val="21"/>
              </w:rPr>
              <w:t>GB 4806.7-2023</w:t>
            </w:r>
          </w:p>
        </w:tc>
        <w:tc>
          <w:tcPr>
            <w:tcW w:w="1559" w:type="dxa"/>
            <w:tcBorders>
              <w:top w:val="single" w:color="auto" w:sz="4" w:space="0"/>
              <w:left w:val="single" w:color="auto" w:sz="4" w:space="0"/>
              <w:bottom w:val="single" w:color="auto" w:sz="4" w:space="0"/>
              <w:right w:val="single" w:color="auto" w:sz="4" w:space="0"/>
            </w:tcBorders>
            <w:vAlign w:val="center"/>
          </w:tcPr>
          <w:p w14:paraId="1CBE6F1D">
            <w:pPr>
              <w:jc w:val="center"/>
              <w:outlineLvl w:val="0"/>
              <w:rPr>
                <w:rFonts w:cs="宋体"/>
                <w:szCs w:val="21"/>
              </w:rPr>
            </w:pPr>
            <w:r>
              <w:rPr>
                <w:rFonts w:hint="eastAsia" w:cs="宋体"/>
                <w:szCs w:val="21"/>
              </w:rPr>
              <w:t>/</w:t>
            </w:r>
          </w:p>
        </w:tc>
      </w:tr>
      <w:tr w14:paraId="46CC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C638A95">
            <w:pPr>
              <w:jc w:val="center"/>
              <w:outlineLvl w:val="0"/>
              <w:rPr>
                <w:rFonts w:cs="宋体"/>
                <w:szCs w:val="21"/>
              </w:rPr>
            </w:pPr>
            <w:r>
              <w:rPr>
                <w:rFonts w:hint="eastAsia" w:cs="宋体"/>
                <w:szCs w:val="21"/>
              </w:rPr>
              <w:t>2</w:t>
            </w:r>
          </w:p>
        </w:tc>
        <w:tc>
          <w:tcPr>
            <w:tcW w:w="2805" w:type="dxa"/>
            <w:tcBorders>
              <w:top w:val="single" w:color="auto" w:sz="4" w:space="0"/>
              <w:left w:val="single" w:color="auto" w:sz="4" w:space="0"/>
              <w:bottom w:val="single" w:color="auto" w:sz="4" w:space="0"/>
              <w:right w:val="single" w:color="auto" w:sz="4" w:space="0"/>
            </w:tcBorders>
            <w:vAlign w:val="center"/>
          </w:tcPr>
          <w:p w14:paraId="09E135CB">
            <w:pPr>
              <w:jc w:val="center"/>
              <w:textAlignment w:val="center"/>
              <w:rPr>
                <w:rFonts w:cs="宋体"/>
                <w:szCs w:val="21"/>
              </w:rPr>
            </w:pPr>
            <w:r>
              <w:rPr>
                <w:rFonts w:hint="eastAsia" w:cs="宋体"/>
                <w:szCs w:val="21"/>
              </w:rPr>
              <w:t>高锰酸钾消</w:t>
            </w:r>
            <w:bookmarkStart w:id="1" w:name="_GoBack"/>
            <w:bookmarkEnd w:id="1"/>
            <w:r>
              <w:rPr>
                <w:rFonts w:hint="eastAsia" w:cs="宋体"/>
                <w:szCs w:val="21"/>
              </w:rPr>
              <w:t>耗量</w:t>
            </w:r>
          </w:p>
        </w:tc>
        <w:tc>
          <w:tcPr>
            <w:tcW w:w="1863" w:type="dxa"/>
            <w:tcBorders>
              <w:left w:val="single" w:color="auto" w:sz="4" w:space="0"/>
              <w:right w:val="single" w:color="auto" w:sz="4" w:space="0"/>
            </w:tcBorders>
            <w:vAlign w:val="center"/>
          </w:tcPr>
          <w:p w14:paraId="50F698CF">
            <w:pPr>
              <w:jc w:val="center"/>
            </w:pPr>
            <w:r>
              <w:rPr>
                <w:rFonts w:hint="eastAsia" w:cs="宋体"/>
                <w:szCs w:val="21"/>
              </w:rPr>
              <w:t>GB 4806.7-2023</w:t>
            </w:r>
          </w:p>
        </w:tc>
        <w:tc>
          <w:tcPr>
            <w:tcW w:w="1995" w:type="dxa"/>
            <w:tcBorders>
              <w:top w:val="single" w:color="auto" w:sz="4" w:space="0"/>
              <w:left w:val="single" w:color="auto" w:sz="4" w:space="0"/>
              <w:bottom w:val="single" w:color="auto" w:sz="4" w:space="0"/>
              <w:right w:val="single" w:color="auto" w:sz="4" w:space="0"/>
            </w:tcBorders>
            <w:vAlign w:val="center"/>
          </w:tcPr>
          <w:p w14:paraId="52C4D3E1">
            <w:pPr>
              <w:jc w:val="center"/>
              <w:textAlignment w:val="center"/>
              <w:rPr>
                <w:rFonts w:cs="宋体"/>
                <w:szCs w:val="21"/>
              </w:rPr>
            </w:pPr>
            <w:r>
              <w:rPr>
                <w:rFonts w:hint="eastAsia" w:cs="宋体"/>
                <w:szCs w:val="21"/>
              </w:rPr>
              <w:t>GB 31604.2-2016</w:t>
            </w:r>
          </w:p>
        </w:tc>
        <w:tc>
          <w:tcPr>
            <w:tcW w:w="1559" w:type="dxa"/>
            <w:tcBorders>
              <w:top w:val="single" w:color="auto" w:sz="4" w:space="0"/>
              <w:left w:val="single" w:color="auto" w:sz="4" w:space="0"/>
              <w:bottom w:val="single" w:color="auto" w:sz="4" w:space="0"/>
              <w:right w:val="single" w:color="auto" w:sz="4" w:space="0"/>
            </w:tcBorders>
            <w:vAlign w:val="center"/>
          </w:tcPr>
          <w:p w14:paraId="15C68468">
            <w:pPr>
              <w:jc w:val="center"/>
              <w:outlineLvl w:val="0"/>
              <w:rPr>
                <w:rFonts w:cs="宋体"/>
                <w:szCs w:val="21"/>
              </w:rPr>
            </w:pPr>
            <w:r>
              <w:rPr>
                <w:rFonts w:hint="eastAsia" w:cs="宋体"/>
                <w:szCs w:val="21"/>
              </w:rPr>
              <w:t>/</w:t>
            </w:r>
          </w:p>
        </w:tc>
      </w:tr>
      <w:tr w14:paraId="2954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C5ABBCB">
            <w:pPr>
              <w:jc w:val="center"/>
              <w:outlineLvl w:val="0"/>
              <w:rPr>
                <w:rFonts w:cs="宋体"/>
                <w:szCs w:val="21"/>
              </w:rPr>
            </w:pPr>
            <w:r>
              <w:rPr>
                <w:rFonts w:hint="eastAsia" w:cs="宋体"/>
                <w:szCs w:val="21"/>
              </w:rPr>
              <w:t>3</w:t>
            </w:r>
          </w:p>
        </w:tc>
        <w:tc>
          <w:tcPr>
            <w:tcW w:w="2805" w:type="dxa"/>
            <w:tcBorders>
              <w:top w:val="single" w:color="auto" w:sz="4" w:space="0"/>
              <w:left w:val="single" w:color="auto" w:sz="4" w:space="0"/>
              <w:bottom w:val="single" w:color="auto" w:sz="4" w:space="0"/>
              <w:right w:val="single" w:color="auto" w:sz="4" w:space="0"/>
            </w:tcBorders>
            <w:vAlign w:val="center"/>
          </w:tcPr>
          <w:p w14:paraId="7860940A">
            <w:pPr>
              <w:jc w:val="center"/>
              <w:textAlignment w:val="center"/>
              <w:rPr>
                <w:rFonts w:cs="宋体"/>
                <w:szCs w:val="21"/>
              </w:rPr>
            </w:pPr>
            <w:r>
              <w:rPr>
                <w:rFonts w:hint="eastAsia" w:cs="宋体"/>
                <w:szCs w:val="21"/>
              </w:rPr>
              <w:t>总迁移量</w:t>
            </w:r>
          </w:p>
        </w:tc>
        <w:tc>
          <w:tcPr>
            <w:tcW w:w="1863" w:type="dxa"/>
            <w:tcBorders>
              <w:left w:val="single" w:color="auto" w:sz="4" w:space="0"/>
              <w:right w:val="single" w:color="auto" w:sz="4" w:space="0"/>
            </w:tcBorders>
            <w:vAlign w:val="center"/>
          </w:tcPr>
          <w:p w14:paraId="51DC91FB">
            <w:pPr>
              <w:jc w:val="center"/>
            </w:pPr>
            <w:r>
              <w:rPr>
                <w:rFonts w:hint="eastAsia" w:cs="宋体"/>
                <w:szCs w:val="21"/>
              </w:rPr>
              <w:t>GB 4806.7-2023</w:t>
            </w:r>
          </w:p>
        </w:tc>
        <w:tc>
          <w:tcPr>
            <w:tcW w:w="1995" w:type="dxa"/>
            <w:tcBorders>
              <w:top w:val="single" w:color="auto" w:sz="4" w:space="0"/>
              <w:left w:val="single" w:color="auto" w:sz="4" w:space="0"/>
              <w:bottom w:val="single" w:color="auto" w:sz="4" w:space="0"/>
              <w:right w:val="single" w:color="auto" w:sz="4" w:space="0"/>
            </w:tcBorders>
            <w:vAlign w:val="center"/>
          </w:tcPr>
          <w:p w14:paraId="0A606F18">
            <w:pPr>
              <w:jc w:val="center"/>
              <w:textAlignment w:val="center"/>
              <w:rPr>
                <w:rFonts w:cs="宋体"/>
                <w:szCs w:val="21"/>
              </w:rPr>
            </w:pPr>
            <w:r>
              <w:rPr>
                <w:rFonts w:hint="eastAsia" w:cs="宋体"/>
                <w:szCs w:val="21"/>
              </w:rPr>
              <w:t>GB 31604.8-2021</w:t>
            </w:r>
          </w:p>
        </w:tc>
        <w:tc>
          <w:tcPr>
            <w:tcW w:w="1559" w:type="dxa"/>
            <w:tcBorders>
              <w:top w:val="single" w:color="auto" w:sz="4" w:space="0"/>
              <w:left w:val="single" w:color="auto" w:sz="4" w:space="0"/>
              <w:bottom w:val="single" w:color="auto" w:sz="4" w:space="0"/>
              <w:right w:val="single" w:color="auto" w:sz="4" w:space="0"/>
            </w:tcBorders>
            <w:vAlign w:val="center"/>
          </w:tcPr>
          <w:p w14:paraId="58486D20">
            <w:pPr>
              <w:jc w:val="center"/>
              <w:outlineLvl w:val="0"/>
              <w:rPr>
                <w:rFonts w:cs="宋体"/>
                <w:szCs w:val="21"/>
              </w:rPr>
            </w:pPr>
            <w:r>
              <w:rPr>
                <w:rFonts w:hint="eastAsia" w:cs="宋体"/>
                <w:szCs w:val="21"/>
              </w:rPr>
              <w:t>/</w:t>
            </w:r>
          </w:p>
        </w:tc>
      </w:tr>
      <w:tr w14:paraId="59E7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D9C0157">
            <w:pPr>
              <w:jc w:val="center"/>
              <w:outlineLvl w:val="0"/>
              <w:rPr>
                <w:rFonts w:cs="宋体"/>
                <w:szCs w:val="21"/>
              </w:rPr>
            </w:pPr>
            <w:r>
              <w:rPr>
                <w:rFonts w:hint="eastAsia" w:cs="宋体"/>
                <w:szCs w:val="21"/>
              </w:rPr>
              <w:t>4</w:t>
            </w:r>
          </w:p>
        </w:tc>
        <w:tc>
          <w:tcPr>
            <w:tcW w:w="2805" w:type="dxa"/>
            <w:tcBorders>
              <w:top w:val="single" w:color="auto" w:sz="4" w:space="0"/>
              <w:left w:val="single" w:color="auto" w:sz="4" w:space="0"/>
              <w:bottom w:val="single" w:color="auto" w:sz="4" w:space="0"/>
              <w:right w:val="single" w:color="auto" w:sz="4" w:space="0"/>
            </w:tcBorders>
            <w:vAlign w:val="center"/>
          </w:tcPr>
          <w:p w14:paraId="250D5608">
            <w:pPr>
              <w:jc w:val="center"/>
              <w:textAlignment w:val="center"/>
              <w:rPr>
                <w:rFonts w:cs="宋体"/>
                <w:szCs w:val="21"/>
              </w:rPr>
            </w:pPr>
            <w:r>
              <w:rPr>
                <w:rFonts w:hint="eastAsia" w:cs="宋体"/>
                <w:szCs w:val="21"/>
              </w:rPr>
              <w:t>重金属（以Pb计）</w:t>
            </w:r>
          </w:p>
        </w:tc>
        <w:tc>
          <w:tcPr>
            <w:tcW w:w="1863" w:type="dxa"/>
            <w:tcBorders>
              <w:left w:val="single" w:color="auto" w:sz="4" w:space="0"/>
              <w:right w:val="single" w:color="auto" w:sz="4" w:space="0"/>
            </w:tcBorders>
            <w:vAlign w:val="center"/>
          </w:tcPr>
          <w:p w14:paraId="7AF70A1D">
            <w:pPr>
              <w:jc w:val="center"/>
            </w:pPr>
            <w:r>
              <w:rPr>
                <w:rFonts w:hint="eastAsia" w:cs="宋体"/>
                <w:szCs w:val="21"/>
              </w:rPr>
              <w:t>GB 4806.7-2023</w:t>
            </w:r>
          </w:p>
        </w:tc>
        <w:tc>
          <w:tcPr>
            <w:tcW w:w="1995" w:type="dxa"/>
            <w:tcBorders>
              <w:top w:val="single" w:color="auto" w:sz="4" w:space="0"/>
              <w:left w:val="single" w:color="auto" w:sz="4" w:space="0"/>
              <w:bottom w:val="single" w:color="auto" w:sz="4" w:space="0"/>
              <w:right w:val="single" w:color="auto" w:sz="4" w:space="0"/>
            </w:tcBorders>
            <w:vAlign w:val="center"/>
          </w:tcPr>
          <w:p w14:paraId="26A5904E">
            <w:pPr>
              <w:jc w:val="center"/>
              <w:textAlignment w:val="center"/>
              <w:rPr>
                <w:rFonts w:cs="宋体"/>
                <w:szCs w:val="21"/>
              </w:rPr>
            </w:pPr>
            <w:r>
              <w:rPr>
                <w:rFonts w:hint="eastAsia" w:cs="宋体"/>
                <w:szCs w:val="21"/>
              </w:rPr>
              <w:t>GB 31604.9-2016</w:t>
            </w:r>
          </w:p>
        </w:tc>
        <w:tc>
          <w:tcPr>
            <w:tcW w:w="1559" w:type="dxa"/>
            <w:tcBorders>
              <w:top w:val="single" w:color="auto" w:sz="4" w:space="0"/>
              <w:left w:val="single" w:color="auto" w:sz="4" w:space="0"/>
              <w:bottom w:val="single" w:color="auto" w:sz="4" w:space="0"/>
              <w:right w:val="single" w:color="auto" w:sz="4" w:space="0"/>
            </w:tcBorders>
            <w:vAlign w:val="center"/>
          </w:tcPr>
          <w:p w14:paraId="18B6136E">
            <w:pPr>
              <w:jc w:val="center"/>
              <w:outlineLvl w:val="0"/>
              <w:rPr>
                <w:rFonts w:cs="宋体"/>
                <w:szCs w:val="21"/>
              </w:rPr>
            </w:pPr>
            <w:r>
              <w:rPr>
                <w:rFonts w:hint="eastAsia" w:cs="宋体"/>
                <w:szCs w:val="21"/>
              </w:rPr>
              <w:t>/</w:t>
            </w:r>
          </w:p>
        </w:tc>
      </w:tr>
      <w:tr w14:paraId="231D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E47D8C">
            <w:pPr>
              <w:jc w:val="center"/>
              <w:outlineLvl w:val="0"/>
              <w:rPr>
                <w:rFonts w:cs="宋体"/>
                <w:szCs w:val="21"/>
              </w:rPr>
            </w:pPr>
            <w:r>
              <w:rPr>
                <w:rFonts w:hint="eastAsia" w:cs="宋体"/>
                <w:szCs w:val="21"/>
              </w:rPr>
              <w:t>5</w:t>
            </w:r>
          </w:p>
        </w:tc>
        <w:tc>
          <w:tcPr>
            <w:tcW w:w="2805" w:type="dxa"/>
            <w:tcBorders>
              <w:top w:val="single" w:color="auto" w:sz="4" w:space="0"/>
              <w:left w:val="single" w:color="auto" w:sz="4" w:space="0"/>
              <w:bottom w:val="single" w:color="auto" w:sz="4" w:space="0"/>
              <w:right w:val="single" w:color="auto" w:sz="4" w:space="0"/>
            </w:tcBorders>
            <w:vAlign w:val="center"/>
          </w:tcPr>
          <w:p w14:paraId="5570351F">
            <w:pPr>
              <w:jc w:val="center"/>
              <w:outlineLvl w:val="0"/>
              <w:rPr>
                <w:rFonts w:cs="宋体"/>
                <w:szCs w:val="21"/>
              </w:rPr>
            </w:pPr>
            <w:r>
              <w:rPr>
                <w:rFonts w:hint="eastAsia" w:cs="宋体"/>
                <w:szCs w:val="21"/>
              </w:rPr>
              <w:t>脱色试验</w:t>
            </w:r>
          </w:p>
        </w:tc>
        <w:tc>
          <w:tcPr>
            <w:tcW w:w="1863" w:type="dxa"/>
            <w:tcBorders>
              <w:left w:val="single" w:color="auto" w:sz="4" w:space="0"/>
              <w:right w:val="single" w:color="auto" w:sz="4" w:space="0"/>
            </w:tcBorders>
            <w:vAlign w:val="center"/>
          </w:tcPr>
          <w:p w14:paraId="7EE73B46">
            <w:pPr>
              <w:jc w:val="center"/>
            </w:pPr>
            <w:r>
              <w:rPr>
                <w:rFonts w:hint="eastAsia" w:cs="宋体"/>
                <w:szCs w:val="21"/>
              </w:rPr>
              <w:t>GB 4806.7-2023</w:t>
            </w:r>
          </w:p>
        </w:tc>
        <w:tc>
          <w:tcPr>
            <w:tcW w:w="1995" w:type="dxa"/>
            <w:tcBorders>
              <w:top w:val="single" w:color="auto" w:sz="4" w:space="0"/>
              <w:left w:val="single" w:color="auto" w:sz="4" w:space="0"/>
              <w:bottom w:val="single" w:color="auto" w:sz="4" w:space="0"/>
              <w:right w:val="single" w:color="auto" w:sz="4" w:space="0"/>
            </w:tcBorders>
            <w:vAlign w:val="center"/>
          </w:tcPr>
          <w:p w14:paraId="77E473F8">
            <w:pPr>
              <w:jc w:val="center"/>
              <w:outlineLvl w:val="0"/>
              <w:rPr>
                <w:rFonts w:cs="宋体"/>
                <w:szCs w:val="21"/>
              </w:rPr>
            </w:pPr>
            <w:r>
              <w:rPr>
                <w:rFonts w:hint="eastAsia" w:cs="宋体"/>
                <w:szCs w:val="21"/>
              </w:rPr>
              <w:t>GB 31604.7-2023</w:t>
            </w:r>
          </w:p>
        </w:tc>
        <w:tc>
          <w:tcPr>
            <w:tcW w:w="1559" w:type="dxa"/>
            <w:tcBorders>
              <w:top w:val="single" w:color="auto" w:sz="4" w:space="0"/>
              <w:left w:val="single" w:color="auto" w:sz="4" w:space="0"/>
              <w:bottom w:val="single" w:color="auto" w:sz="4" w:space="0"/>
              <w:right w:val="single" w:color="auto" w:sz="4" w:space="0"/>
            </w:tcBorders>
            <w:vAlign w:val="center"/>
          </w:tcPr>
          <w:p w14:paraId="095B5F55">
            <w:pPr>
              <w:jc w:val="center"/>
              <w:outlineLvl w:val="0"/>
              <w:rPr>
                <w:rFonts w:cs="宋体"/>
                <w:szCs w:val="21"/>
              </w:rPr>
            </w:pPr>
            <w:r>
              <w:rPr>
                <w:rFonts w:hint="eastAsia" w:cs="宋体"/>
                <w:szCs w:val="21"/>
              </w:rPr>
              <w:t>仅适用添加了着色剂的产品</w:t>
            </w:r>
          </w:p>
        </w:tc>
      </w:tr>
      <w:tr w14:paraId="3327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28E074">
            <w:pPr>
              <w:jc w:val="center"/>
              <w:outlineLvl w:val="0"/>
              <w:rPr>
                <w:rFonts w:hint="eastAsia" w:eastAsia="宋体" w:cs="宋体"/>
                <w:szCs w:val="21"/>
                <w:lang w:val="en-US" w:eastAsia="zh-CN"/>
              </w:rPr>
            </w:pPr>
            <w:r>
              <w:rPr>
                <w:rFonts w:hint="eastAsia" w:cs="宋体"/>
                <w:szCs w:val="21"/>
                <w:lang w:val="en-US" w:eastAsia="zh-CN"/>
              </w:rPr>
              <w:t>6</w:t>
            </w:r>
          </w:p>
        </w:tc>
        <w:tc>
          <w:tcPr>
            <w:tcW w:w="2805" w:type="dxa"/>
            <w:tcBorders>
              <w:top w:val="single" w:color="auto" w:sz="4" w:space="0"/>
              <w:left w:val="single" w:color="auto" w:sz="4" w:space="0"/>
              <w:bottom w:val="single" w:color="auto" w:sz="4" w:space="0"/>
              <w:right w:val="single" w:color="auto" w:sz="4" w:space="0"/>
            </w:tcBorders>
            <w:vAlign w:val="center"/>
          </w:tcPr>
          <w:p w14:paraId="1EAA9E86">
            <w:pPr>
              <w:jc w:val="center"/>
              <w:outlineLvl w:val="0"/>
              <w:rPr>
                <w:rFonts w:hint="eastAsia" w:cs="宋体"/>
                <w:szCs w:val="21"/>
              </w:rPr>
            </w:pPr>
            <w:r>
              <w:rPr>
                <w:rFonts w:hint="eastAsia" w:cs="宋体"/>
                <w:szCs w:val="21"/>
                <w:lang w:val="en-US" w:eastAsia="zh-CN"/>
              </w:rPr>
              <w:t>芳香族伯胺迁移总量</w:t>
            </w:r>
          </w:p>
        </w:tc>
        <w:tc>
          <w:tcPr>
            <w:tcW w:w="1863" w:type="dxa"/>
            <w:tcBorders>
              <w:left w:val="single" w:color="auto" w:sz="4" w:space="0"/>
              <w:right w:val="single" w:color="auto" w:sz="4" w:space="0"/>
            </w:tcBorders>
            <w:vAlign w:val="center"/>
          </w:tcPr>
          <w:p w14:paraId="5B6F2F4D">
            <w:pPr>
              <w:jc w:val="center"/>
              <w:rPr>
                <w:rFonts w:hint="eastAsia" w:cs="宋体"/>
                <w:szCs w:val="21"/>
              </w:rPr>
            </w:pPr>
            <w:r>
              <w:rPr>
                <w:rFonts w:hint="eastAsia" w:cs="宋体"/>
                <w:szCs w:val="21"/>
              </w:rPr>
              <w:t>GB 4806.7-2023</w:t>
            </w:r>
          </w:p>
        </w:tc>
        <w:tc>
          <w:tcPr>
            <w:tcW w:w="1995" w:type="dxa"/>
            <w:tcBorders>
              <w:top w:val="single" w:color="auto" w:sz="4" w:space="0"/>
              <w:left w:val="single" w:color="auto" w:sz="4" w:space="0"/>
              <w:bottom w:val="single" w:color="auto" w:sz="4" w:space="0"/>
              <w:right w:val="single" w:color="auto" w:sz="4" w:space="0"/>
            </w:tcBorders>
            <w:vAlign w:val="center"/>
          </w:tcPr>
          <w:p w14:paraId="1438C784">
            <w:pPr>
              <w:jc w:val="center"/>
              <w:outlineLvl w:val="0"/>
              <w:rPr>
                <w:rFonts w:hint="eastAsia" w:cs="宋体"/>
                <w:szCs w:val="21"/>
              </w:rPr>
            </w:pPr>
            <w:r>
              <w:rPr>
                <w:rFonts w:hint="eastAsia"/>
                <w:szCs w:val="21"/>
              </w:rPr>
              <w:t>GB 31604.52</w:t>
            </w:r>
            <w:r>
              <w:rPr>
                <w:rFonts w:hint="eastAsia"/>
                <w:szCs w:val="21"/>
                <w:lang w:val="en-US" w:eastAsia="zh-CN"/>
              </w:rPr>
              <w:t>-</w:t>
            </w:r>
            <w:r>
              <w:rPr>
                <w:rFonts w:hint="eastAsia"/>
                <w:szCs w:val="21"/>
              </w:rPr>
              <w:t>2021</w:t>
            </w:r>
          </w:p>
        </w:tc>
        <w:tc>
          <w:tcPr>
            <w:tcW w:w="1559" w:type="dxa"/>
            <w:tcBorders>
              <w:top w:val="single" w:color="auto" w:sz="4" w:space="0"/>
              <w:left w:val="single" w:color="auto" w:sz="4" w:space="0"/>
              <w:bottom w:val="single" w:color="auto" w:sz="4" w:space="0"/>
              <w:right w:val="single" w:color="auto" w:sz="4" w:space="0"/>
            </w:tcBorders>
            <w:vAlign w:val="center"/>
          </w:tcPr>
          <w:p w14:paraId="077C9EF4">
            <w:pPr>
              <w:jc w:val="center"/>
              <w:outlineLvl w:val="0"/>
              <w:rPr>
                <w:rFonts w:hint="eastAsia" w:cs="宋体"/>
                <w:szCs w:val="21"/>
              </w:rPr>
            </w:pPr>
            <w:r>
              <w:rPr>
                <w:rFonts w:hint="eastAsia" w:cs="宋体"/>
                <w:szCs w:val="21"/>
              </w:rPr>
              <w:t>/</w:t>
            </w:r>
          </w:p>
        </w:tc>
      </w:tr>
    </w:tbl>
    <w:p w14:paraId="39D137F6">
      <w:pPr>
        <w:adjustRightInd w:val="0"/>
        <w:snapToGrid w:val="0"/>
        <w:spacing w:line="360" w:lineRule="auto"/>
        <w:ind w:firstLine="420" w:firstLineChars="200"/>
        <w:rPr>
          <w:rFonts w:hint="eastAsia"/>
          <w:szCs w:val="21"/>
        </w:rPr>
      </w:pPr>
    </w:p>
    <w:p w14:paraId="20A6EF7A">
      <w:pPr>
        <w:adjustRightInd w:val="0"/>
        <w:snapToGrid w:val="0"/>
        <w:spacing w:line="360" w:lineRule="auto"/>
        <w:ind w:firstLine="420" w:firstLineChars="200"/>
        <w:rPr>
          <w:szCs w:val="21"/>
        </w:rPr>
      </w:pPr>
      <w:r>
        <w:rPr>
          <w:rFonts w:hint="eastAsia"/>
          <w:szCs w:val="21"/>
        </w:rPr>
        <w:t>执行企业标准、团体标准、地方标准的产品，检验项目参照上述内容执行。</w:t>
      </w:r>
    </w:p>
    <w:p w14:paraId="5A1D914F">
      <w:pPr>
        <w:snapToGrid w:val="0"/>
        <w:spacing w:line="360" w:lineRule="auto"/>
        <w:ind w:firstLine="359" w:firstLineChars="171"/>
        <w:rPr>
          <w:szCs w:val="21"/>
        </w:rPr>
      </w:pPr>
      <w:r>
        <w:rPr>
          <w:rFonts w:hint="eastAsia"/>
          <w:szCs w:val="21"/>
        </w:rPr>
        <w:t>凡是注日期的文件，其随后所有的修改单（不包括勘误的内容）或修订版不适用于本细则。凡是不注日期的文件，其最新版本适用于本细则。</w:t>
      </w:r>
    </w:p>
    <w:p w14:paraId="6D9747DA">
      <w:pPr>
        <w:snapToGrid w:val="0"/>
        <w:spacing w:line="360" w:lineRule="auto"/>
        <w:rPr>
          <w:b/>
          <w:sz w:val="24"/>
        </w:rPr>
      </w:pPr>
      <w:r>
        <w:rPr>
          <w:rFonts w:hint="eastAsia"/>
          <w:b/>
          <w:sz w:val="24"/>
        </w:rPr>
        <w:t>3、判定规则</w:t>
      </w:r>
    </w:p>
    <w:p w14:paraId="2EF618FC">
      <w:pPr>
        <w:widowControl/>
        <w:spacing w:line="360" w:lineRule="auto"/>
        <w:jc w:val="left"/>
        <w:rPr>
          <w:rFonts w:ascii="仿宋_GB2312" w:hAnsi="仿宋_GB2312" w:eastAsia="仿宋_GB2312" w:cs="仿宋_GB2312"/>
          <w:kern w:val="0"/>
          <w:sz w:val="28"/>
          <w:szCs w:val="28"/>
        </w:rPr>
      </w:pPr>
      <w:r>
        <w:rPr>
          <w:rFonts w:hint="eastAsia" w:ascii="宋体" w:hAnsi="宋体"/>
          <w:szCs w:val="21"/>
        </w:rPr>
        <w:t>3.1 依据标准</w:t>
      </w:r>
    </w:p>
    <w:p w14:paraId="49C963C0">
      <w:pPr>
        <w:widowControl/>
        <w:spacing w:line="360" w:lineRule="auto"/>
        <w:ind w:firstLine="420" w:firstLineChars="200"/>
        <w:jc w:val="left"/>
        <w:rPr>
          <w:rFonts w:ascii="宋体" w:hAnsi="宋体"/>
          <w:szCs w:val="21"/>
        </w:rPr>
      </w:pPr>
      <w:r>
        <w:rPr>
          <w:rFonts w:ascii="宋体" w:hAnsi="宋体"/>
          <w:szCs w:val="21"/>
        </w:rPr>
        <w:t>GB 4806.7-2</w:t>
      </w:r>
      <w:r>
        <w:rPr>
          <w:rFonts w:hint="eastAsia" w:ascii="宋体" w:hAnsi="宋体"/>
          <w:szCs w:val="21"/>
        </w:rPr>
        <w:t>023</w:t>
      </w:r>
      <w:r>
        <w:rPr>
          <w:rFonts w:ascii="宋体" w:hAnsi="宋体"/>
          <w:szCs w:val="21"/>
        </w:rPr>
        <w:t xml:space="preserve"> </w:t>
      </w:r>
      <w:r>
        <w:rPr>
          <w:rFonts w:hint="eastAsia" w:ascii="宋体" w:hAnsi="宋体"/>
          <w:szCs w:val="21"/>
        </w:rPr>
        <w:t>食品安全国家标准</w:t>
      </w:r>
      <w:r>
        <w:rPr>
          <w:rFonts w:ascii="宋体" w:hAnsi="宋体"/>
          <w:szCs w:val="21"/>
        </w:rPr>
        <w:t xml:space="preserve"> </w:t>
      </w:r>
      <w:r>
        <w:rPr>
          <w:rFonts w:hint="eastAsia" w:ascii="宋体" w:hAnsi="宋体"/>
          <w:szCs w:val="21"/>
        </w:rPr>
        <w:t>食品接触材料及制品</w:t>
      </w:r>
    </w:p>
    <w:p w14:paraId="5BD18C7F">
      <w:pPr>
        <w:widowControl/>
        <w:spacing w:line="360" w:lineRule="auto"/>
        <w:ind w:firstLine="420" w:firstLineChars="200"/>
        <w:jc w:val="left"/>
        <w:rPr>
          <w:rFonts w:ascii="宋体" w:hAnsi="宋体"/>
          <w:szCs w:val="21"/>
        </w:rPr>
      </w:pPr>
      <w:bookmarkStart w:id="0" w:name="OLE_LINK2"/>
      <w:r>
        <w:rPr>
          <w:rFonts w:hint="eastAsia" w:ascii="宋体" w:hAnsi="宋体"/>
          <w:szCs w:val="21"/>
        </w:rPr>
        <w:t>GB 9685-2016 食品安全国家标准 食品接触材料及制品用添加剂使用标准</w:t>
      </w:r>
    </w:p>
    <w:p w14:paraId="189B694F">
      <w:pPr>
        <w:widowControl/>
        <w:spacing w:line="360" w:lineRule="auto"/>
        <w:ind w:firstLine="420" w:firstLineChars="200"/>
        <w:jc w:val="left"/>
        <w:rPr>
          <w:rFonts w:ascii="宋体" w:hAnsi="宋体"/>
          <w:szCs w:val="21"/>
        </w:rPr>
      </w:pPr>
      <w:r>
        <w:rPr>
          <w:rFonts w:hint="eastAsia" w:ascii="宋体" w:hAnsi="宋体"/>
          <w:szCs w:val="21"/>
        </w:rPr>
        <w:t>《食品相关产品生产许可实施细则（一）食品用塑料包装容器工具等制品部分》</w:t>
      </w:r>
      <w:bookmarkEnd w:id="0"/>
    </w:p>
    <w:p w14:paraId="50F022BF">
      <w:pPr>
        <w:widowControl/>
        <w:spacing w:line="360" w:lineRule="auto"/>
        <w:ind w:firstLine="420" w:firstLineChars="200"/>
        <w:jc w:val="left"/>
        <w:rPr>
          <w:rFonts w:ascii="仿宋_GB2312" w:hAnsi="仿宋_GB2312" w:eastAsia="仿宋_GB2312" w:cs="仿宋_GB2312"/>
          <w:kern w:val="0"/>
          <w:sz w:val="28"/>
          <w:szCs w:val="28"/>
        </w:rPr>
      </w:pPr>
      <w:r>
        <w:rPr>
          <w:rFonts w:hint="eastAsia" w:ascii="宋体" w:hAnsi="宋体"/>
          <w:szCs w:val="21"/>
        </w:rPr>
        <w:t>现行有效的企业标准、团体标准、地方标准及产品明示质量要求</w:t>
      </w:r>
    </w:p>
    <w:p w14:paraId="3A05E0CE">
      <w:pPr>
        <w:snapToGrid w:val="0"/>
        <w:spacing w:line="440" w:lineRule="exact"/>
        <w:outlineLvl w:val="0"/>
        <w:rPr>
          <w:szCs w:val="21"/>
        </w:rPr>
      </w:pPr>
      <w:r>
        <w:rPr>
          <w:rFonts w:asciiTheme="minorEastAsia" w:hAnsiTheme="minorEastAsia" w:eastAsiaTheme="minorEastAsia"/>
          <w:szCs w:val="21"/>
        </w:rPr>
        <w:t>3.2</w:t>
      </w:r>
      <w:r>
        <w:rPr>
          <w:szCs w:val="21"/>
        </w:rPr>
        <w:t>判定原则</w:t>
      </w:r>
    </w:p>
    <w:p w14:paraId="3A7BD537">
      <w:pPr>
        <w:snapToGrid w:val="0"/>
        <w:spacing w:line="440" w:lineRule="exact"/>
        <w:ind w:firstLine="420" w:firstLineChars="200"/>
        <w:rPr>
          <w:rFonts w:ascii="宋体" w:hAnsi="宋体"/>
        </w:rPr>
      </w:pPr>
      <w:r>
        <w:rPr>
          <w:rFonts w:hint="eastAsia" w:ascii="宋体" w:hAnsi="宋体"/>
        </w:rPr>
        <w:t>经检验，检验项目全部合格，判定为抽取的样本所检项目未检出不合格；检验项目中任一项或一项以上不合格，判定为被抽查产品不合格。</w:t>
      </w:r>
    </w:p>
    <w:p w14:paraId="23D23F74">
      <w:pPr>
        <w:snapToGrid w:val="0"/>
        <w:spacing w:line="440" w:lineRule="exact"/>
        <w:ind w:firstLine="420" w:firstLineChars="200"/>
        <w:rPr>
          <w:rFonts w:ascii="宋体" w:hAnsi="宋体"/>
        </w:rPr>
      </w:pPr>
      <w:r>
        <w:rPr>
          <w:rFonts w:hint="eastAsia" w:ascii="宋体" w:hAnsi="宋体"/>
        </w:rPr>
        <w:t>当被检样品明示的质量要求优于监督抽查实施细则中依据的标准要求时，应按被检样品明示的质量要求判定。</w:t>
      </w:r>
    </w:p>
    <w:p w14:paraId="5637129D">
      <w:pPr>
        <w:snapToGrid w:val="0"/>
        <w:spacing w:line="440" w:lineRule="exact"/>
        <w:ind w:firstLine="420" w:firstLineChars="200"/>
        <w:rPr>
          <w:rFonts w:ascii="宋体" w:hAnsi="宋体"/>
        </w:rPr>
      </w:pPr>
      <w:r>
        <w:rPr>
          <w:rFonts w:hint="eastAsia" w:ascii="宋体" w:hAnsi="宋体"/>
        </w:rPr>
        <w:t>当被检样品明示的质量要求劣于或不包含监督抽查实施细则中依据的强制性标准要求时，应按照强制性标准要求判定。</w:t>
      </w:r>
    </w:p>
    <w:p w14:paraId="07CFB773">
      <w:pPr>
        <w:snapToGrid w:val="0"/>
        <w:spacing w:line="440" w:lineRule="exact"/>
        <w:ind w:firstLine="420" w:firstLineChars="200"/>
        <w:rPr>
          <w:rFonts w:ascii="宋体" w:hAnsi="宋体"/>
        </w:rPr>
      </w:pPr>
      <w:r>
        <w:rPr>
          <w:rFonts w:hint="eastAsia" w:ascii="宋体" w:hAnsi="宋体"/>
        </w:rPr>
        <w:t>当被检样品明示的质量要求劣于或包含监督抽查实施细则中依据的推荐性标准要求时，应以被检样品明示的质量要求判定，如相应检验结果不符合相关推荐性标准要求时，应在检验报告中予以说明。</w:t>
      </w:r>
    </w:p>
    <w:p w14:paraId="45F605FD">
      <w:pPr>
        <w:snapToGrid w:val="0"/>
        <w:spacing w:line="440" w:lineRule="exact"/>
        <w:ind w:firstLine="420" w:firstLineChars="200"/>
        <w:rPr>
          <w:rFonts w:ascii="宋体" w:hAnsi="宋体"/>
        </w:rPr>
      </w:pPr>
      <w:r>
        <w:rPr>
          <w:rFonts w:hint="eastAsia" w:ascii="宋体" w:hAnsi="宋体"/>
        </w:rPr>
        <w:t>当被检样品明示的质量要求不包含监督抽查实施细则中依据的推荐性标准要求时，该指标不参与判定，但应在检验报告中作出说明。</w:t>
      </w:r>
    </w:p>
    <w:p w14:paraId="7DD646AD">
      <w:pPr>
        <w:snapToGrid w:val="0"/>
        <w:spacing w:line="440" w:lineRule="exact"/>
        <w:ind w:firstLine="420" w:firstLineChars="200"/>
        <w:rPr>
          <w:rFonts w:ascii="宋体" w:hAnsi="宋体"/>
        </w:rPr>
      </w:pPr>
      <w:r>
        <w:rPr>
          <w:rFonts w:hint="eastAsia" w:ascii="宋体" w:hAnsi="宋体"/>
        </w:rPr>
        <w:t>当被检样品未能提供有效的企业标准时，按相关国家或行业标准进行判定。</w:t>
      </w:r>
    </w:p>
    <w:p w14:paraId="2699B3B7">
      <w:pPr>
        <w:snapToGrid w:val="0"/>
        <w:spacing w:line="440" w:lineRule="exact"/>
        <w:ind w:firstLine="420" w:firstLineChars="200"/>
        <w:rPr>
          <w:rFonts w:ascii="宋体" w:hAnsi="宋体"/>
        </w:rPr>
      </w:pPr>
      <w:r>
        <w:rPr>
          <w:rFonts w:hint="eastAsia" w:ascii="宋体" w:hAnsi="宋体"/>
        </w:rPr>
        <w:t>当被检样品标签标识中执行标准信息和产品类别信息不明或有误，影响检测和判定时，可根据相关强制性标准要求，同时结合产品特点等信息判断和选择相关标准进行检验，并应在检验报告中作出相关说明。</w:t>
      </w:r>
    </w:p>
    <w:p w14:paraId="55F58B16">
      <w:pPr>
        <w:snapToGrid w:val="0"/>
        <w:spacing w:line="440" w:lineRule="exact"/>
        <w:ind w:firstLine="420" w:firstLineChars="200"/>
        <w:rPr>
          <w:rFonts w:ascii="宋体" w:hAnsi="宋体"/>
        </w:rPr>
      </w:pPr>
      <w:r>
        <w:rPr>
          <w:rFonts w:hint="eastAsia" w:ascii="宋体" w:hAnsi="宋体"/>
        </w:rPr>
        <w:t>按照产品质量相关法律法规的规定判定。</w:t>
      </w:r>
    </w:p>
    <w:p w14:paraId="2D6A3249">
      <w:pPr>
        <w:snapToGrid w:val="0"/>
        <w:spacing w:line="440" w:lineRule="exact"/>
        <w:ind w:firstLine="420" w:firstLineChars="200"/>
        <w:rPr>
          <w:rFonts w:ascii="黑体" w:hAnsi="宋体" w:eastAsia="黑体"/>
          <w:szCs w:val="21"/>
        </w:rPr>
      </w:pPr>
      <w:r>
        <w:rPr>
          <w:rFonts w:hint="eastAsia" w:ascii="宋体" w:hAnsi="宋体"/>
        </w:rPr>
        <w:t>检验中发现因样品失效或者其他原因致使检验无法进行的，检验人员应如实记录，并提供相关证明材料，报送组织监督抽查的市场监管部门</w:t>
      </w:r>
      <w:r>
        <w:rPr>
          <w:rFonts w:hint="eastAsia" w:ascii="宋体" w:hAnsi="宋体"/>
          <w:color w:val="000000"/>
          <w:szCs w:val="21"/>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4521526"/>
    </w:sdtPr>
    <w:sdtContent>
      <w:p w14:paraId="6B34B3FE">
        <w:pPr>
          <w:pStyle w:val="4"/>
          <w:jc w:val="right"/>
        </w:pPr>
        <w:r>
          <w:fldChar w:fldCharType="begin"/>
        </w:r>
        <w:r>
          <w:instrText xml:space="preserve">PAGE   \* MERGEFORMAT</w:instrText>
        </w:r>
        <w:r>
          <w:fldChar w:fldCharType="separate"/>
        </w:r>
        <w:r>
          <w:rPr>
            <w:lang w:val="zh-CN"/>
          </w:rPr>
          <w:t>1</w:t>
        </w:r>
        <w:r>
          <w:fldChar w:fldCharType="end"/>
        </w:r>
      </w:p>
    </w:sdtContent>
  </w:sdt>
  <w:p w14:paraId="5BD42AA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yMzRhYzgzYmRiOTFiZmEzNTY0YWJmNzU0NWNhZjMifQ=="/>
  </w:docVars>
  <w:rsids>
    <w:rsidRoot w:val="00DD0FF9"/>
    <w:rsid w:val="00004B65"/>
    <w:rsid w:val="00011B5D"/>
    <w:rsid w:val="00027B83"/>
    <w:rsid w:val="000A69B4"/>
    <w:rsid w:val="00174B4B"/>
    <w:rsid w:val="0018616C"/>
    <w:rsid w:val="00202C42"/>
    <w:rsid w:val="002C7072"/>
    <w:rsid w:val="002D276C"/>
    <w:rsid w:val="002F5871"/>
    <w:rsid w:val="00321478"/>
    <w:rsid w:val="003C106D"/>
    <w:rsid w:val="00435246"/>
    <w:rsid w:val="004757AF"/>
    <w:rsid w:val="0049278A"/>
    <w:rsid w:val="004954DE"/>
    <w:rsid w:val="004D2989"/>
    <w:rsid w:val="005316A3"/>
    <w:rsid w:val="00550B27"/>
    <w:rsid w:val="005A31A1"/>
    <w:rsid w:val="00601AF1"/>
    <w:rsid w:val="00611C40"/>
    <w:rsid w:val="0065326F"/>
    <w:rsid w:val="00665668"/>
    <w:rsid w:val="006E0B0F"/>
    <w:rsid w:val="00780562"/>
    <w:rsid w:val="00796046"/>
    <w:rsid w:val="007A07A5"/>
    <w:rsid w:val="007E3E88"/>
    <w:rsid w:val="008238FB"/>
    <w:rsid w:val="00867190"/>
    <w:rsid w:val="00883B7C"/>
    <w:rsid w:val="008E1FC5"/>
    <w:rsid w:val="008F5D22"/>
    <w:rsid w:val="00935F60"/>
    <w:rsid w:val="009957B2"/>
    <w:rsid w:val="009E36C9"/>
    <w:rsid w:val="009F4DFE"/>
    <w:rsid w:val="00A16BBA"/>
    <w:rsid w:val="00A216C6"/>
    <w:rsid w:val="00A574C1"/>
    <w:rsid w:val="00AB353F"/>
    <w:rsid w:val="00B0707B"/>
    <w:rsid w:val="00B14238"/>
    <w:rsid w:val="00B63C09"/>
    <w:rsid w:val="00B709EF"/>
    <w:rsid w:val="00B81633"/>
    <w:rsid w:val="00BB6E3E"/>
    <w:rsid w:val="00BC4624"/>
    <w:rsid w:val="00BD098B"/>
    <w:rsid w:val="00BE7803"/>
    <w:rsid w:val="00C608CA"/>
    <w:rsid w:val="00CE25F2"/>
    <w:rsid w:val="00CF44EA"/>
    <w:rsid w:val="00DA0BD0"/>
    <w:rsid w:val="00DD0FF9"/>
    <w:rsid w:val="00DF7BCA"/>
    <w:rsid w:val="00E74DAE"/>
    <w:rsid w:val="00EC3947"/>
    <w:rsid w:val="00EF59F1"/>
    <w:rsid w:val="00F00EA0"/>
    <w:rsid w:val="00F7151B"/>
    <w:rsid w:val="00FF2195"/>
    <w:rsid w:val="046F071C"/>
    <w:rsid w:val="05FB4B1F"/>
    <w:rsid w:val="06451AA0"/>
    <w:rsid w:val="294B2DA7"/>
    <w:rsid w:val="2D686211"/>
    <w:rsid w:val="336321F2"/>
    <w:rsid w:val="37982730"/>
    <w:rsid w:val="42500A93"/>
    <w:rsid w:val="46EF6AA2"/>
    <w:rsid w:val="5C6C7B70"/>
    <w:rsid w:val="5FD1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0"/>
    <w:autoRedefine/>
    <w:unhideWhenUsed/>
    <w:qFormat/>
    <w:uiPriority w:val="99"/>
    <w:pPr>
      <w:jc w:val="left"/>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autoRedefine/>
    <w:qFormat/>
    <w:uiPriority w:val="99"/>
    <w:rPr>
      <w:sz w:val="18"/>
      <w:szCs w:val="18"/>
    </w:rPr>
  </w:style>
  <w:style w:type="character" w:customStyle="1" w:styleId="10">
    <w:name w:val="批注文字 Char"/>
    <w:link w:val="2"/>
    <w:autoRedefine/>
    <w:qFormat/>
    <w:uiPriority w:val="99"/>
    <w:rPr>
      <w:kern w:val="2"/>
      <w:sz w:val="21"/>
      <w:szCs w:val="24"/>
    </w:rPr>
  </w:style>
  <w:style w:type="character" w:customStyle="1" w:styleId="11">
    <w:name w:val="批注文字 Char1"/>
    <w:basedOn w:val="7"/>
    <w:autoRedefine/>
    <w:semiHidden/>
    <w:qFormat/>
    <w:uiPriority w:val="99"/>
    <w:rPr>
      <w:kern w:val="2"/>
      <w:sz w:val="21"/>
      <w:szCs w:val="24"/>
    </w:rPr>
  </w:style>
  <w:style w:type="character" w:customStyle="1" w:styleId="12">
    <w:name w:val="批注框文本 Char"/>
    <w:basedOn w:val="7"/>
    <w:link w:val="3"/>
    <w:autoRedefine/>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1095</Words>
  <Characters>1267</Characters>
  <Lines>14</Lines>
  <Paragraphs>3</Paragraphs>
  <TotalTime>1</TotalTime>
  <ScaleCrop>false</ScaleCrop>
  <LinksUpToDate>false</LinksUpToDate>
  <CharactersWithSpaces>1288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2019-07-12T00:29:00Z</dcterms:created>
  <dc:creator>陈卓辉</dc:creator>
  <cp:lastModifiedBy>李卉</cp:lastModifiedBy>
  <dcterms:modified xsi:type="dcterms:W3CDTF">2025-11-07T01:32:49Z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7BB884908EA244B6B65D916F569B8BFD_12</vt:lpwstr>
  </property>
  <property fmtid="{D5CDD505-2E9C-101B-9397-08002B2CF9AE}" pid="4" name="KSOTemplateDocerSaveRecord">
    <vt:lpwstr>eyJoZGlkIjoiOGZjOTljNmZmMDFhYzVhY2UzNDM3NTg2Y2U2NjNhMjQiLCJ1c2VySWQiOiI0NDE0NDk1ODcifQ==</vt:lpwstr>
  </property>
</Properties>
</file>